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1D96D" w14:textId="0CAF5ED7" w:rsidR="00746BE5" w:rsidRPr="00AC2F9E" w:rsidRDefault="00746BE5" w:rsidP="00746BE5">
      <w:pPr>
        <w:pStyle w:val="a3"/>
        <w:ind w:firstLine="0"/>
        <w:jc w:val="left"/>
        <w:rPr>
          <w:rFonts w:eastAsiaTheme="minorHAnsi" w:cstheme="minorBidi"/>
          <w:noProof/>
          <w:szCs w:val="28"/>
          <w:lang w:eastAsia="en-US"/>
        </w:rPr>
      </w:pPr>
      <w:bookmarkStart w:id="0" w:name="_Toc141439723"/>
      <w:bookmarkStart w:id="1" w:name="_Toc138268870"/>
      <w:r w:rsidRPr="00AC2F9E">
        <w:rPr>
          <w:rFonts w:eastAsiaTheme="minorHAnsi" w:cstheme="minorBidi"/>
          <w:noProof/>
          <w:szCs w:val="28"/>
          <w:lang w:eastAsia="en-US"/>
        </w:rPr>
        <w:t>УДК 553.98</w:t>
      </w:r>
    </w:p>
    <w:p w14:paraId="1B8248A5" w14:textId="018ECBEC" w:rsidR="00445661" w:rsidRPr="009375A1" w:rsidRDefault="00273E2F" w:rsidP="009375A1">
      <w:pPr>
        <w:pStyle w:val="a3"/>
        <w:ind w:firstLine="0"/>
        <w:jc w:val="center"/>
        <w:rPr>
          <w:rFonts w:eastAsiaTheme="minorHAnsi" w:cstheme="minorBidi"/>
          <w:b/>
          <w:noProof/>
          <w:color w:val="0070C0"/>
          <w:sz w:val="32"/>
          <w:szCs w:val="32"/>
          <w:lang w:eastAsia="en-US"/>
        </w:rPr>
      </w:pPr>
      <w:r>
        <w:rPr>
          <w:rFonts w:eastAsiaTheme="minorHAnsi" w:cstheme="minorBidi"/>
          <w:b/>
          <w:noProof/>
          <w:color w:val="0070C0"/>
          <w:sz w:val="32"/>
          <w:szCs w:val="32"/>
          <w:lang w:eastAsia="en-US"/>
        </w:rPr>
        <w:t>Развитие добычи «в</w:t>
      </w:r>
      <w:r w:rsidR="00445661" w:rsidRPr="009375A1">
        <w:rPr>
          <w:rFonts w:eastAsiaTheme="minorHAnsi" w:cstheme="minorBidi"/>
          <w:b/>
          <w:noProof/>
          <w:color w:val="0070C0"/>
          <w:sz w:val="32"/>
          <w:szCs w:val="32"/>
          <w:lang w:eastAsia="en-US"/>
        </w:rPr>
        <w:t>ысокотехнологичн</w:t>
      </w:r>
      <w:r>
        <w:rPr>
          <w:rFonts w:eastAsiaTheme="minorHAnsi" w:cstheme="minorBidi"/>
          <w:b/>
          <w:noProof/>
          <w:color w:val="0070C0"/>
          <w:sz w:val="32"/>
          <w:szCs w:val="32"/>
          <w:lang w:eastAsia="en-US"/>
        </w:rPr>
        <w:t>ого»</w:t>
      </w:r>
      <w:r w:rsidR="00445661" w:rsidRPr="009375A1">
        <w:rPr>
          <w:rFonts w:eastAsiaTheme="minorHAnsi" w:cstheme="minorBidi"/>
          <w:b/>
          <w:noProof/>
          <w:color w:val="0070C0"/>
          <w:sz w:val="32"/>
          <w:szCs w:val="32"/>
          <w:lang w:eastAsia="en-US"/>
        </w:rPr>
        <w:t xml:space="preserve"> газ</w:t>
      </w:r>
      <w:r>
        <w:rPr>
          <w:rFonts w:eastAsiaTheme="minorHAnsi" w:cstheme="minorBidi"/>
          <w:b/>
          <w:noProof/>
          <w:color w:val="0070C0"/>
          <w:sz w:val="32"/>
          <w:szCs w:val="32"/>
          <w:lang w:eastAsia="en-US"/>
        </w:rPr>
        <w:t>а</w:t>
      </w:r>
      <w:r w:rsidR="00377B99">
        <w:rPr>
          <w:rFonts w:eastAsiaTheme="minorHAnsi" w:cstheme="minorBidi"/>
          <w:b/>
          <w:noProof/>
          <w:color w:val="0070C0"/>
          <w:sz w:val="32"/>
          <w:szCs w:val="32"/>
          <w:lang w:eastAsia="en-US"/>
        </w:rPr>
        <w:t>:</w:t>
      </w:r>
      <w:r>
        <w:rPr>
          <w:rFonts w:eastAsiaTheme="minorHAnsi" w:cstheme="minorBidi"/>
          <w:b/>
          <w:noProof/>
          <w:color w:val="0070C0"/>
          <w:sz w:val="32"/>
          <w:szCs w:val="32"/>
          <w:lang w:eastAsia="en-US"/>
        </w:rPr>
        <w:t xml:space="preserve"> </w:t>
      </w:r>
      <w:r w:rsidR="00445661" w:rsidRPr="009375A1">
        <w:rPr>
          <w:rFonts w:eastAsiaTheme="minorHAnsi" w:cstheme="minorBidi"/>
          <w:b/>
          <w:noProof/>
          <w:color w:val="0070C0"/>
          <w:sz w:val="32"/>
          <w:szCs w:val="32"/>
          <w:lang w:eastAsia="en-US"/>
        </w:rPr>
        <w:t xml:space="preserve">в </w:t>
      </w:r>
      <w:r>
        <w:rPr>
          <w:rFonts w:eastAsiaTheme="minorHAnsi" w:cstheme="minorBidi"/>
          <w:b/>
          <w:noProof/>
          <w:color w:val="0070C0"/>
          <w:sz w:val="32"/>
          <w:szCs w:val="32"/>
          <w:lang w:eastAsia="en-US"/>
        </w:rPr>
        <w:t xml:space="preserve">основе новые знания, современные технологии и гибкие процедуры </w:t>
      </w:r>
      <w:r w:rsidR="00445661" w:rsidRPr="009375A1">
        <w:rPr>
          <w:rFonts w:eastAsiaTheme="minorHAnsi" w:cstheme="minorBidi"/>
          <w:b/>
          <w:noProof/>
          <w:color w:val="0070C0"/>
          <w:sz w:val="32"/>
          <w:szCs w:val="32"/>
          <w:lang w:eastAsia="en-US"/>
        </w:rPr>
        <w:t xml:space="preserve"> индикативного планирования</w:t>
      </w:r>
    </w:p>
    <w:p w14:paraId="2927B6FA" w14:textId="77777777" w:rsidR="00746BE5" w:rsidRPr="00746BE5" w:rsidRDefault="00746BE5" w:rsidP="00EE602A">
      <w:pPr>
        <w:pStyle w:val="a3"/>
        <w:jc w:val="center"/>
        <w:rPr>
          <w:bCs/>
        </w:rPr>
      </w:pPr>
    </w:p>
    <w:p w14:paraId="4C3B5980" w14:textId="762EAEF8" w:rsidR="00EE602A" w:rsidRPr="00333E5C" w:rsidRDefault="00EE602A" w:rsidP="00EE602A">
      <w:pPr>
        <w:pStyle w:val="a3"/>
        <w:jc w:val="center"/>
      </w:pPr>
      <w:r w:rsidRPr="00F9217C">
        <w:t>В</w:t>
      </w:r>
      <w:r w:rsidRPr="00333E5C">
        <w:t>.</w:t>
      </w:r>
      <w:r w:rsidRPr="00F9217C">
        <w:t>А</w:t>
      </w:r>
      <w:r w:rsidRPr="00333E5C">
        <w:t>.</w:t>
      </w:r>
      <w:r w:rsidR="00030043" w:rsidRPr="00333E5C">
        <w:t xml:space="preserve"> </w:t>
      </w:r>
      <w:r w:rsidR="00030043" w:rsidRPr="00F9217C">
        <w:t>Крюков</w:t>
      </w:r>
      <w:r w:rsidR="00030043" w:rsidRPr="00333E5C">
        <w:rPr>
          <w:vertAlign w:val="superscript"/>
        </w:rPr>
        <w:t>1</w:t>
      </w:r>
      <w:r w:rsidRPr="00333E5C">
        <w:t xml:space="preserve">, </w:t>
      </w:r>
      <w:r w:rsidR="00030043" w:rsidRPr="00F9217C">
        <w:t>А</w:t>
      </w:r>
      <w:r w:rsidR="00030043" w:rsidRPr="00333E5C">
        <w:t>.</w:t>
      </w:r>
      <w:r w:rsidR="00030043" w:rsidRPr="00F9217C">
        <w:t>Н</w:t>
      </w:r>
      <w:r w:rsidR="00030043" w:rsidRPr="00333E5C">
        <w:t xml:space="preserve">. </w:t>
      </w:r>
      <w:r w:rsidRPr="00F9217C">
        <w:t>Токарев</w:t>
      </w:r>
      <w:r w:rsidR="00030043" w:rsidRPr="00333E5C">
        <w:rPr>
          <w:vertAlign w:val="superscript"/>
        </w:rPr>
        <w:t>1</w:t>
      </w:r>
      <w:r w:rsidR="0068067C" w:rsidRPr="00333E5C">
        <w:rPr>
          <w:vertAlign w:val="superscript"/>
        </w:rPr>
        <w:t>*</w:t>
      </w:r>
      <w:r w:rsidRPr="00333E5C">
        <w:t>,</w:t>
      </w:r>
      <w:r w:rsidR="00030043" w:rsidRPr="00333E5C">
        <w:t xml:space="preserve"> </w:t>
      </w:r>
      <w:r w:rsidR="00030043" w:rsidRPr="00F9217C">
        <w:t>Е</w:t>
      </w:r>
      <w:r w:rsidR="00030043" w:rsidRPr="00333E5C">
        <w:t>.</w:t>
      </w:r>
      <w:r w:rsidR="00030043" w:rsidRPr="00F9217C">
        <w:t>А</w:t>
      </w:r>
      <w:r w:rsidR="00030043" w:rsidRPr="00333E5C">
        <w:t xml:space="preserve">. </w:t>
      </w:r>
      <w:r w:rsidRPr="00F9217C">
        <w:t>Дубовицкая</w:t>
      </w:r>
      <w:r w:rsidR="00030043" w:rsidRPr="00333E5C">
        <w:rPr>
          <w:vertAlign w:val="superscript"/>
        </w:rPr>
        <w:t>2</w:t>
      </w:r>
      <w:r w:rsidRPr="00333E5C">
        <w:t xml:space="preserve"> </w:t>
      </w:r>
    </w:p>
    <w:p w14:paraId="4DDAA79F" w14:textId="60E9C0AB" w:rsidR="00EE602A" w:rsidRDefault="00746BE5" w:rsidP="00746BE5">
      <w:pPr>
        <w:pStyle w:val="a3"/>
        <w:jc w:val="left"/>
        <w:rPr>
          <w:sz w:val="24"/>
          <w:szCs w:val="24"/>
        </w:rPr>
      </w:pPr>
      <w:r w:rsidRPr="00030043">
        <w:rPr>
          <w:sz w:val="24"/>
          <w:szCs w:val="24"/>
          <w:vertAlign w:val="superscript"/>
        </w:rPr>
        <w:t>1</w:t>
      </w:r>
      <w:r w:rsidRPr="00746BE5">
        <w:rPr>
          <w:sz w:val="24"/>
          <w:szCs w:val="24"/>
        </w:rPr>
        <w:t xml:space="preserve"> Институт экономики и организации промышленного производства Сибирского отделения РАН, Новосибирск, Россия</w:t>
      </w:r>
    </w:p>
    <w:p w14:paraId="02915709" w14:textId="7588B9CB" w:rsidR="00746BE5" w:rsidRDefault="00746BE5" w:rsidP="00746BE5">
      <w:pPr>
        <w:pStyle w:val="a3"/>
        <w:jc w:val="left"/>
        <w:rPr>
          <w:sz w:val="24"/>
          <w:szCs w:val="24"/>
        </w:rPr>
      </w:pPr>
      <w:r w:rsidRPr="00030043">
        <w:rPr>
          <w:sz w:val="24"/>
          <w:szCs w:val="24"/>
          <w:vertAlign w:val="superscript"/>
        </w:rPr>
        <w:t>2</w:t>
      </w:r>
      <w:r w:rsidRPr="00746BE5">
        <w:t xml:space="preserve"> </w:t>
      </w:r>
      <w:r w:rsidR="0068067C" w:rsidRPr="0068067C">
        <w:rPr>
          <w:sz w:val="24"/>
          <w:szCs w:val="24"/>
        </w:rPr>
        <w:t>ООО «Индженикс Груп»</w:t>
      </w:r>
      <w:r w:rsidR="0068067C">
        <w:rPr>
          <w:sz w:val="24"/>
          <w:szCs w:val="24"/>
        </w:rPr>
        <w:t>,</w:t>
      </w:r>
      <w:r w:rsidR="0068067C" w:rsidRPr="0068067C">
        <w:rPr>
          <w:sz w:val="24"/>
          <w:szCs w:val="24"/>
        </w:rPr>
        <w:t xml:space="preserve"> </w:t>
      </w:r>
      <w:r w:rsidR="00DE57C1" w:rsidRPr="00030043">
        <w:rPr>
          <w:sz w:val="24"/>
          <w:szCs w:val="24"/>
        </w:rPr>
        <w:t>Москва, Россия</w:t>
      </w:r>
    </w:p>
    <w:p w14:paraId="194CA4C6" w14:textId="437B9AB9" w:rsidR="0068067C" w:rsidRPr="008D0E9C" w:rsidRDefault="0068067C" w:rsidP="00746BE5">
      <w:pPr>
        <w:pStyle w:val="a3"/>
        <w:jc w:val="left"/>
        <w:rPr>
          <w:sz w:val="24"/>
          <w:szCs w:val="24"/>
        </w:rPr>
      </w:pPr>
      <w:r w:rsidRPr="0068067C">
        <w:rPr>
          <w:sz w:val="24"/>
          <w:szCs w:val="24"/>
        </w:rPr>
        <w:t>*</w:t>
      </w:r>
      <w:r w:rsidRPr="00413FDD">
        <w:rPr>
          <w:sz w:val="24"/>
          <w:szCs w:val="24"/>
        </w:rPr>
        <w:t xml:space="preserve"> </w:t>
      </w:r>
      <w:r w:rsidRPr="0068067C">
        <w:rPr>
          <w:sz w:val="24"/>
          <w:szCs w:val="24"/>
        </w:rPr>
        <w:t xml:space="preserve">Ответственный автор: </w:t>
      </w:r>
      <w:r w:rsidR="008D0E9C">
        <w:rPr>
          <w:sz w:val="24"/>
          <w:szCs w:val="24"/>
        </w:rPr>
        <w:t>Токарев Анатолий Николаевич</w:t>
      </w:r>
      <w:r w:rsidRPr="0068067C">
        <w:rPr>
          <w:sz w:val="24"/>
          <w:szCs w:val="24"/>
        </w:rPr>
        <w:t>, e-mail:</w:t>
      </w:r>
      <w:r w:rsidR="008D0E9C">
        <w:rPr>
          <w:sz w:val="24"/>
          <w:szCs w:val="24"/>
        </w:rPr>
        <w:t xml:space="preserve"> </w:t>
      </w:r>
      <w:r w:rsidR="008D0E9C">
        <w:rPr>
          <w:sz w:val="24"/>
          <w:szCs w:val="24"/>
          <w:lang w:val="en-US"/>
        </w:rPr>
        <w:t>Anatoli</w:t>
      </w:r>
      <w:r w:rsidR="008D0E9C" w:rsidRPr="008D0E9C">
        <w:rPr>
          <w:sz w:val="24"/>
          <w:szCs w:val="24"/>
        </w:rPr>
        <w:t>-3@</w:t>
      </w:r>
      <w:r w:rsidR="008D0E9C">
        <w:rPr>
          <w:sz w:val="24"/>
          <w:szCs w:val="24"/>
          <w:lang w:val="en-US"/>
        </w:rPr>
        <w:t>yandex</w:t>
      </w:r>
      <w:r w:rsidR="008D0E9C" w:rsidRPr="008D0E9C">
        <w:rPr>
          <w:sz w:val="24"/>
          <w:szCs w:val="24"/>
        </w:rPr>
        <w:t>.</w:t>
      </w:r>
      <w:r w:rsidR="008D0E9C">
        <w:rPr>
          <w:sz w:val="24"/>
          <w:szCs w:val="24"/>
          <w:lang w:val="en-US"/>
        </w:rPr>
        <w:t>ru</w:t>
      </w:r>
    </w:p>
    <w:p w14:paraId="4D400F98" w14:textId="262EFA69" w:rsidR="00C75D14" w:rsidRDefault="00C75D14" w:rsidP="00AF2910">
      <w:pPr>
        <w:pStyle w:val="a3"/>
        <w:rPr>
          <w:rFonts w:eastAsiaTheme="minorHAnsi" w:cstheme="minorBidi"/>
          <w:noProof/>
          <w:szCs w:val="22"/>
          <w:lang w:eastAsia="en-US"/>
        </w:rPr>
      </w:pPr>
    </w:p>
    <w:p w14:paraId="779C17C6" w14:textId="4DAACBD2" w:rsidR="006D1A16" w:rsidRPr="005C7FA1" w:rsidRDefault="003E6FCB" w:rsidP="006D1A16">
      <w:pPr>
        <w:pStyle w:val="a3"/>
        <w:rPr>
          <w:rFonts w:eastAsiaTheme="minorHAnsi" w:cstheme="minorBidi"/>
          <w:noProof/>
          <w:szCs w:val="22"/>
          <w:lang w:eastAsia="en-US"/>
        </w:rPr>
      </w:pPr>
      <w:r w:rsidRPr="003E6FCB">
        <w:rPr>
          <w:rFonts w:eastAsiaTheme="minorHAnsi" w:cstheme="minorBidi"/>
          <w:b/>
          <w:bCs/>
          <w:noProof/>
          <w:szCs w:val="22"/>
          <w:lang w:eastAsia="en-US"/>
        </w:rPr>
        <w:t>Аннотация</w:t>
      </w:r>
      <w:r>
        <w:rPr>
          <w:rFonts w:eastAsiaTheme="minorHAnsi" w:cstheme="minorBidi"/>
          <w:noProof/>
          <w:szCs w:val="22"/>
          <w:lang w:eastAsia="en-US"/>
        </w:rPr>
        <w:t xml:space="preserve">. </w:t>
      </w:r>
      <w:r w:rsidR="006D1A16" w:rsidRPr="003E6FCB">
        <w:rPr>
          <w:rFonts w:eastAsiaTheme="minorHAnsi" w:cstheme="minorBidi"/>
          <w:noProof/>
          <w:szCs w:val="22"/>
          <w:lang w:eastAsia="en-US"/>
        </w:rPr>
        <w:t>Росси</w:t>
      </w:r>
      <w:r w:rsidR="006D1A16">
        <w:rPr>
          <w:rFonts w:eastAsiaTheme="minorHAnsi" w:cstheme="minorBidi"/>
          <w:noProof/>
          <w:szCs w:val="22"/>
          <w:lang w:eastAsia="en-US"/>
        </w:rPr>
        <w:t xml:space="preserve">я </w:t>
      </w:r>
      <w:r w:rsidR="006D1A16" w:rsidRPr="003E6FCB">
        <w:rPr>
          <w:rFonts w:eastAsiaTheme="minorHAnsi" w:cstheme="minorBidi"/>
          <w:noProof/>
          <w:szCs w:val="22"/>
          <w:lang w:eastAsia="en-US"/>
        </w:rPr>
        <w:t>обладае</w:t>
      </w:r>
      <w:r w:rsidR="006D1A16">
        <w:rPr>
          <w:rFonts w:eastAsiaTheme="minorHAnsi" w:cstheme="minorBidi"/>
          <w:noProof/>
          <w:szCs w:val="22"/>
          <w:lang w:eastAsia="en-US"/>
        </w:rPr>
        <w:t>т</w:t>
      </w:r>
      <w:r w:rsidR="006D1A16" w:rsidRPr="003E6FCB">
        <w:rPr>
          <w:rFonts w:eastAsiaTheme="minorHAnsi" w:cstheme="minorBidi"/>
          <w:noProof/>
          <w:szCs w:val="22"/>
          <w:lang w:eastAsia="en-US"/>
        </w:rPr>
        <w:t xml:space="preserve"> крупнейшей в мире ресурсной базой природного газа</w:t>
      </w:r>
      <w:r w:rsidR="006D1A16">
        <w:rPr>
          <w:rFonts w:eastAsiaTheme="minorHAnsi" w:cstheme="minorBidi"/>
          <w:noProof/>
          <w:szCs w:val="22"/>
          <w:lang w:eastAsia="en-US"/>
        </w:rPr>
        <w:t xml:space="preserve">. При этом значительная часть запасов газа относится к </w:t>
      </w:r>
      <w:r w:rsidR="006D1A16" w:rsidRPr="00722594">
        <w:rPr>
          <w:rFonts w:eastAsiaTheme="minorHAnsi" w:cstheme="minorBidi"/>
          <w:noProof/>
          <w:szCs w:val="22"/>
          <w:lang w:eastAsia="en-US"/>
        </w:rPr>
        <w:t xml:space="preserve">трудноизвлекаемым (ТРИЗ), а </w:t>
      </w:r>
      <w:r w:rsidR="006D1A16">
        <w:rPr>
          <w:rFonts w:eastAsiaTheme="minorHAnsi" w:cstheme="minorBidi"/>
          <w:noProof/>
          <w:szCs w:val="22"/>
          <w:lang w:eastAsia="en-US"/>
        </w:rPr>
        <w:t>его поставки на рынок (прежде всего, трубопроводным транспортом) в современных условиях связаны с преодолением серьезных препятствий. Поэтому о</w:t>
      </w:r>
      <w:r w:rsidR="006D1A16" w:rsidRPr="003E6FCB">
        <w:rPr>
          <w:rFonts w:eastAsiaTheme="minorHAnsi" w:cstheme="minorBidi"/>
          <w:noProof/>
          <w:szCs w:val="22"/>
          <w:lang w:eastAsia="en-US"/>
        </w:rPr>
        <w:t xml:space="preserve">дним из ключевых приоритетов </w:t>
      </w:r>
      <w:r w:rsidR="006D1A16">
        <w:rPr>
          <w:rFonts w:eastAsiaTheme="minorHAnsi" w:cstheme="minorBidi"/>
          <w:noProof/>
          <w:szCs w:val="22"/>
          <w:lang w:eastAsia="en-US"/>
        </w:rPr>
        <w:t xml:space="preserve">развития </w:t>
      </w:r>
      <w:r w:rsidR="006D1A16" w:rsidRPr="005C7FA1">
        <w:rPr>
          <w:rFonts w:eastAsiaTheme="minorHAnsi" w:cstheme="minorBidi"/>
          <w:noProof/>
          <w:szCs w:val="22"/>
          <w:lang w:eastAsia="en-US"/>
        </w:rPr>
        <w:t>отрасли должн</w:t>
      </w:r>
      <w:r w:rsidR="006D1A16">
        <w:rPr>
          <w:rFonts w:eastAsiaTheme="minorHAnsi" w:cstheme="minorBidi"/>
          <w:noProof/>
          <w:szCs w:val="22"/>
          <w:lang w:eastAsia="en-US"/>
        </w:rPr>
        <w:t>о</w:t>
      </w:r>
      <w:r w:rsidR="006D1A16" w:rsidRPr="005C7FA1">
        <w:rPr>
          <w:rFonts w:eastAsiaTheme="minorHAnsi" w:cstheme="minorBidi"/>
          <w:noProof/>
          <w:szCs w:val="22"/>
          <w:lang w:eastAsia="en-US"/>
        </w:rPr>
        <w:t xml:space="preserve"> стать производство высокотехнологичного газа – газа, добываемого из ТРИЗ </w:t>
      </w:r>
      <w:r w:rsidR="007E7FE9" w:rsidRPr="007E7FE9">
        <w:rPr>
          <w:rFonts w:eastAsiaTheme="minorHAnsi" w:cstheme="minorBidi"/>
          <w:noProof/>
          <w:color w:val="0000FF"/>
          <w:szCs w:val="22"/>
          <w:lang w:eastAsia="en-US"/>
        </w:rPr>
        <w:t>и/</w:t>
      </w:r>
      <w:r w:rsidR="006D1A16" w:rsidRPr="007E7FE9">
        <w:rPr>
          <w:rFonts w:eastAsiaTheme="minorHAnsi" w:cstheme="minorBidi"/>
          <w:noProof/>
          <w:color w:val="0000FF"/>
          <w:szCs w:val="22"/>
          <w:lang w:eastAsia="en-US"/>
        </w:rPr>
        <w:t xml:space="preserve">или </w:t>
      </w:r>
      <w:r w:rsidR="006D1A16" w:rsidRPr="005C7FA1">
        <w:rPr>
          <w:rFonts w:eastAsiaTheme="minorHAnsi" w:cstheme="minorBidi"/>
          <w:noProof/>
          <w:szCs w:val="22"/>
          <w:lang w:eastAsia="en-US"/>
        </w:rPr>
        <w:t xml:space="preserve">поставляемого на рынок в виде сжиженного природного </w:t>
      </w:r>
      <w:r w:rsidR="006D1A16" w:rsidRPr="00722594">
        <w:rPr>
          <w:rFonts w:eastAsiaTheme="minorHAnsi" w:cstheme="minorBidi"/>
          <w:noProof/>
          <w:szCs w:val="22"/>
          <w:lang w:eastAsia="en-US"/>
        </w:rPr>
        <w:t xml:space="preserve">газа (СПГ). Его </w:t>
      </w:r>
      <w:r w:rsidR="006D1A16">
        <w:rPr>
          <w:rFonts w:eastAsiaTheme="minorHAnsi" w:cstheme="minorBidi"/>
          <w:noProof/>
          <w:szCs w:val="22"/>
          <w:lang w:eastAsia="en-US"/>
        </w:rPr>
        <w:t xml:space="preserve">производство </w:t>
      </w:r>
      <w:r w:rsidR="006D1A16" w:rsidRPr="00CB0FAB">
        <w:rPr>
          <w:rFonts w:eastAsiaTheme="minorHAnsi" w:cstheme="minorBidi"/>
          <w:noProof/>
          <w:szCs w:val="22"/>
          <w:lang w:eastAsia="en-US"/>
        </w:rPr>
        <w:t xml:space="preserve">предполагает применение как </w:t>
      </w:r>
      <w:r w:rsidR="001956CC">
        <w:rPr>
          <w:rFonts w:eastAsiaTheme="minorHAnsi" w:cstheme="minorBidi"/>
          <w:noProof/>
          <w:szCs w:val="22"/>
          <w:lang w:eastAsia="en-US"/>
        </w:rPr>
        <w:t xml:space="preserve">инновационных </w:t>
      </w:r>
      <w:r w:rsidR="006D1A16" w:rsidRPr="00CB0FAB">
        <w:rPr>
          <w:rFonts w:eastAsiaTheme="minorHAnsi" w:cstheme="minorBidi"/>
          <w:noProof/>
          <w:szCs w:val="22"/>
          <w:lang w:eastAsia="en-US"/>
        </w:rPr>
        <w:t>технологий, так и новых форм координации участников процесс</w:t>
      </w:r>
      <w:r w:rsidR="006D1A16">
        <w:rPr>
          <w:rFonts w:eastAsiaTheme="minorHAnsi" w:cstheme="minorBidi"/>
          <w:noProof/>
          <w:szCs w:val="22"/>
          <w:lang w:eastAsia="en-US"/>
        </w:rPr>
        <w:t>ов</w:t>
      </w:r>
      <w:r w:rsidR="006D1A16" w:rsidRPr="00CB0FAB">
        <w:rPr>
          <w:rFonts w:eastAsiaTheme="minorHAnsi" w:cstheme="minorBidi"/>
          <w:noProof/>
          <w:szCs w:val="22"/>
          <w:lang w:eastAsia="en-US"/>
        </w:rPr>
        <w:t xml:space="preserve"> его </w:t>
      </w:r>
      <w:r w:rsidR="001956CC">
        <w:rPr>
          <w:rFonts w:eastAsiaTheme="minorHAnsi" w:cstheme="minorBidi"/>
          <w:noProof/>
          <w:szCs w:val="22"/>
          <w:lang w:eastAsia="en-US"/>
        </w:rPr>
        <w:t>производства</w:t>
      </w:r>
      <w:r w:rsidR="006D1A16">
        <w:rPr>
          <w:rFonts w:eastAsiaTheme="minorHAnsi" w:cstheme="minorBidi"/>
          <w:noProof/>
          <w:szCs w:val="22"/>
          <w:lang w:eastAsia="en-US"/>
        </w:rPr>
        <w:t>.</w:t>
      </w:r>
    </w:p>
    <w:p w14:paraId="6B7E3CD3" w14:textId="4B11B0FD" w:rsidR="00EB4061" w:rsidRDefault="006400F3" w:rsidP="003E6FCB">
      <w:pPr>
        <w:pStyle w:val="a3"/>
        <w:rPr>
          <w:iCs/>
        </w:rPr>
      </w:pPr>
      <w:r>
        <w:rPr>
          <w:iCs/>
        </w:rPr>
        <w:t>П</w:t>
      </w:r>
      <w:r w:rsidR="00EB4061" w:rsidRPr="00EB4061">
        <w:rPr>
          <w:iCs/>
        </w:rPr>
        <w:t xml:space="preserve">роекты по производству </w:t>
      </w:r>
      <w:r w:rsidR="00EB4061" w:rsidRPr="00C04584">
        <w:rPr>
          <w:iCs/>
        </w:rPr>
        <w:t xml:space="preserve">высокотехнологичного газа (ВТ-газа) могут успешно реализоваться только при снятии </w:t>
      </w:r>
      <w:r w:rsidR="00C9405E" w:rsidRPr="00C04584">
        <w:rPr>
          <w:iCs/>
        </w:rPr>
        <w:t>ряда</w:t>
      </w:r>
      <w:r w:rsidR="00007FED" w:rsidRPr="00C04584">
        <w:rPr>
          <w:iCs/>
        </w:rPr>
        <w:t xml:space="preserve"> </w:t>
      </w:r>
      <w:r w:rsidR="00EB4061" w:rsidRPr="00C04584">
        <w:rPr>
          <w:iCs/>
        </w:rPr>
        <w:t>ограничений</w:t>
      </w:r>
      <w:r w:rsidR="00EB4061" w:rsidRPr="00EB4061">
        <w:rPr>
          <w:iCs/>
        </w:rPr>
        <w:t xml:space="preserve">. </w:t>
      </w:r>
      <w:r w:rsidR="00EB4061">
        <w:rPr>
          <w:iCs/>
        </w:rPr>
        <w:t>О</w:t>
      </w:r>
      <w:r w:rsidR="00EB4061" w:rsidRPr="00EB4061">
        <w:rPr>
          <w:iCs/>
        </w:rPr>
        <w:t xml:space="preserve">собо </w:t>
      </w:r>
      <w:r w:rsidR="00EB4061">
        <w:rPr>
          <w:iCs/>
        </w:rPr>
        <w:t>с</w:t>
      </w:r>
      <w:r w:rsidR="00EB4061" w:rsidRPr="00EB4061">
        <w:rPr>
          <w:iCs/>
        </w:rPr>
        <w:t xml:space="preserve">ледует отметить: (1) технологические проблемы, решение которых требует </w:t>
      </w:r>
      <w:r w:rsidR="00AC2B93">
        <w:rPr>
          <w:iCs/>
        </w:rPr>
        <w:t>применени</w:t>
      </w:r>
      <w:r w:rsidR="00CE68E5">
        <w:rPr>
          <w:iCs/>
        </w:rPr>
        <w:t>я</w:t>
      </w:r>
      <w:r w:rsidR="00AC2B93">
        <w:rPr>
          <w:iCs/>
        </w:rPr>
        <w:t xml:space="preserve"> новых видов </w:t>
      </w:r>
      <w:r w:rsidR="00EB4061" w:rsidRPr="00EB4061">
        <w:rPr>
          <w:iCs/>
        </w:rPr>
        <w:t>оборудования, материалов</w:t>
      </w:r>
      <w:r w:rsidR="001956CC">
        <w:rPr>
          <w:iCs/>
        </w:rPr>
        <w:t xml:space="preserve"> и</w:t>
      </w:r>
      <w:r w:rsidR="00EB4061" w:rsidRPr="00EB4061">
        <w:rPr>
          <w:iCs/>
        </w:rPr>
        <w:t xml:space="preserve"> услуг; (2) </w:t>
      </w:r>
      <w:r w:rsidR="0027400D">
        <w:rPr>
          <w:iCs/>
        </w:rPr>
        <w:t xml:space="preserve">организационно-экономические проблемы, </w:t>
      </w:r>
      <w:r w:rsidR="00EB4061" w:rsidRPr="00EB4061">
        <w:rPr>
          <w:iCs/>
        </w:rPr>
        <w:t>которы</w:t>
      </w:r>
      <w:r w:rsidR="0027400D">
        <w:rPr>
          <w:iCs/>
        </w:rPr>
        <w:t>е</w:t>
      </w:r>
      <w:r w:rsidR="009F3FB5">
        <w:rPr>
          <w:iCs/>
        </w:rPr>
        <w:t xml:space="preserve"> связаны с повышенным уровнем издержек в отдельных звеньях технологическ</w:t>
      </w:r>
      <w:r w:rsidR="001956CC">
        <w:rPr>
          <w:iCs/>
        </w:rPr>
        <w:t>их</w:t>
      </w:r>
      <w:r w:rsidR="009F3FB5">
        <w:rPr>
          <w:iCs/>
        </w:rPr>
        <w:t xml:space="preserve"> цепоч</w:t>
      </w:r>
      <w:r w:rsidR="001956CC">
        <w:rPr>
          <w:iCs/>
        </w:rPr>
        <w:t>е</w:t>
      </w:r>
      <w:r w:rsidR="009F3FB5">
        <w:rPr>
          <w:iCs/>
        </w:rPr>
        <w:t>к.</w:t>
      </w:r>
    </w:p>
    <w:p w14:paraId="395B42DB" w14:textId="7C3AAAF8" w:rsidR="003E6FCB" w:rsidRPr="0046341A" w:rsidRDefault="003E6FCB" w:rsidP="003E6FCB">
      <w:pPr>
        <w:pStyle w:val="a3"/>
        <w:rPr>
          <w:rFonts w:eastAsiaTheme="minorHAnsi" w:cstheme="minorBidi"/>
          <w:noProof/>
          <w:szCs w:val="22"/>
          <w:lang w:eastAsia="en-US"/>
        </w:rPr>
      </w:pPr>
      <w:r w:rsidRPr="0046341A">
        <w:rPr>
          <w:rFonts w:eastAsiaTheme="minorHAnsi" w:cstheme="minorBidi"/>
          <w:noProof/>
          <w:szCs w:val="22"/>
          <w:lang w:eastAsia="en-US"/>
        </w:rPr>
        <w:t xml:space="preserve">Выполненные </w:t>
      </w:r>
      <w:r w:rsidR="005B4E9A">
        <w:rPr>
          <w:rFonts w:eastAsiaTheme="minorHAnsi" w:cstheme="minorBidi"/>
          <w:noProof/>
          <w:szCs w:val="22"/>
          <w:lang w:eastAsia="en-US"/>
        </w:rPr>
        <w:t xml:space="preserve">авторами </w:t>
      </w:r>
      <w:r w:rsidRPr="0046341A">
        <w:rPr>
          <w:rFonts w:eastAsiaTheme="minorHAnsi" w:cstheme="minorBidi"/>
          <w:noProof/>
          <w:szCs w:val="22"/>
          <w:lang w:eastAsia="en-US"/>
        </w:rPr>
        <w:t>оценки показ</w:t>
      </w:r>
      <w:r w:rsidR="005B4E9A">
        <w:rPr>
          <w:rFonts w:eastAsiaTheme="minorHAnsi" w:cstheme="minorBidi"/>
          <w:noProof/>
          <w:szCs w:val="22"/>
          <w:lang w:eastAsia="en-US"/>
        </w:rPr>
        <w:t>ывают</w:t>
      </w:r>
      <w:r w:rsidRPr="0046341A">
        <w:rPr>
          <w:rFonts w:eastAsiaTheme="minorHAnsi" w:cstheme="minorBidi"/>
          <w:noProof/>
          <w:szCs w:val="22"/>
          <w:lang w:eastAsia="en-US"/>
        </w:rPr>
        <w:t>, что</w:t>
      </w:r>
      <w:r w:rsidR="00E814D1">
        <w:rPr>
          <w:rFonts w:eastAsiaTheme="minorHAnsi" w:cstheme="minorBidi"/>
          <w:noProof/>
          <w:szCs w:val="22"/>
          <w:lang w:eastAsia="en-US"/>
        </w:rPr>
        <w:t xml:space="preserve"> </w:t>
      </w:r>
      <w:r w:rsidR="00007FED" w:rsidRPr="00BA666C">
        <w:rPr>
          <w:rFonts w:eastAsiaTheme="minorHAnsi" w:cstheme="minorBidi"/>
          <w:noProof/>
          <w:color w:val="0000FF"/>
          <w:szCs w:val="22"/>
          <w:lang w:eastAsia="en-US"/>
        </w:rPr>
        <w:t>дополнительны</w:t>
      </w:r>
      <w:r w:rsidR="00BA666C" w:rsidRPr="00BA666C">
        <w:rPr>
          <w:rFonts w:eastAsiaTheme="minorHAnsi" w:cstheme="minorBidi"/>
          <w:noProof/>
          <w:color w:val="0000FF"/>
          <w:szCs w:val="22"/>
          <w:lang w:eastAsia="en-US"/>
        </w:rPr>
        <w:t>е</w:t>
      </w:r>
      <w:r w:rsidR="00007FED" w:rsidRPr="00BA666C">
        <w:rPr>
          <w:rFonts w:eastAsiaTheme="minorHAnsi" w:cstheme="minorBidi"/>
          <w:noProof/>
          <w:color w:val="0000FF"/>
          <w:szCs w:val="22"/>
          <w:lang w:eastAsia="en-US"/>
        </w:rPr>
        <w:t xml:space="preserve"> </w:t>
      </w:r>
      <w:r w:rsidR="00691359" w:rsidRPr="00BA666C">
        <w:rPr>
          <w:rFonts w:eastAsiaTheme="minorHAnsi" w:cstheme="minorBidi"/>
          <w:noProof/>
          <w:color w:val="0000FF"/>
          <w:szCs w:val="22"/>
          <w:lang w:eastAsia="en-US"/>
        </w:rPr>
        <w:t>налоговы</w:t>
      </w:r>
      <w:r w:rsidR="00BA666C" w:rsidRPr="00BA666C">
        <w:rPr>
          <w:rFonts w:eastAsiaTheme="minorHAnsi" w:cstheme="minorBidi"/>
          <w:noProof/>
          <w:color w:val="0000FF"/>
          <w:szCs w:val="22"/>
          <w:lang w:eastAsia="en-US"/>
        </w:rPr>
        <w:t>е</w:t>
      </w:r>
      <w:r w:rsidR="00691359" w:rsidRPr="00BA666C">
        <w:rPr>
          <w:rFonts w:eastAsiaTheme="minorHAnsi" w:cstheme="minorBidi"/>
          <w:noProof/>
          <w:color w:val="0000FF"/>
          <w:szCs w:val="22"/>
          <w:lang w:eastAsia="en-US"/>
        </w:rPr>
        <w:t xml:space="preserve"> </w:t>
      </w:r>
      <w:r w:rsidR="00BA666C" w:rsidRPr="00BA666C">
        <w:rPr>
          <w:rFonts w:eastAsiaTheme="minorHAnsi" w:cstheme="minorBidi"/>
          <w:noProof/>
          <w:color w:val="0000FF"/>
          <w:szCs w:val="22"/>
          <w:lang w:eastAsia="en-US"/>
        </w:rPr>
        <w:t>стимулы</w:t>
      </w:r>
      <w:r w:rsidR="00691359" w:rsidRPr="00BA666C">
        <w:rPr>
          <w:rFonts w:eastAsiaTheme="minorHAnsi" w:cstheme="minorBidi"/>
          <w:noProof/>
          <w:color w:val="0000FF"/>
          <w:szCs w:val="22"/>
          <w:lang w:eastAsia="en-US"/>
        </w:rPr>
        <w:t xml:space="preserve"> </w:t>
      </w:r>
      <w:r w:rsidR="00E814D1">
        <w:rPr>
          <w:rFonts w:eastAsiaTheme="minorHAnsi" w:cstheme="minorBidi"/>
          <w:noProof/>
          <w:szCs w:val="22"/>
          <w:lang w:eastAsia="en-US"/>
        </w:rPr>
        <w:t>при</w:t>
      </w:r>
      <w:r w:rsidR="00691359" w:rsidRPr="0046341A">
        <w:rPr>
          <w:rFonts w:eastAsiaTheme="minorHAnsi" w:cstheme="minorBidi"/>
          <w:noProof/>
          <w:szCs w:val="22"/>
          <w:lang w:eastAsia="en-US"/>
        </w:rPr>
        <w:t xml:space="preserve"> разработк</w:t>
      </w:r>
      <w:r w:rsidR="00E814D1">
        <w:rPr>
          <w:rFonts w:eastAsiaTheme="minorHAnsi" w:cstheme="minorBidi"/>
          <w:noProof/>
          <w:szCs w:val="22"/>
          <w:lang w:eastAsia="en-US"/>
        </w:rPr>
        <w:t>е</w:t>
      </w:r>
      <w:r w:rsidR="00691359" w:rsidRPr="0046341A">
        <w:rPr>
          <w:rFonts w:eastAsiaTheme="minorHAnsi" w:cstheme="minorBidi"/>
          <w:noProof/>
          <w:szCs w:val="22"/>
          <w:lang w:eastAsia="en-US"/>
        </w:rPr>
        <w:t xml:space="preserve"> </w:t>
      </w:r>
      <w:r w:rsidR="00E814D1">
        <w:rPr>
          <w:rFonts w:eastAsiaTheme="minorHAnsi" w:cstheme="minorBidi"/>
          <w:noProof/>
          <w:szCs w:val="22"/>
          <w:lang w:eastAsia="en-US"/>
        </w:rPr>
        <w:t>ТРИЗ</w:t>
      </w:r>
      <w:r w:rsidR="00345959">
        <w:rPr>
          <w:rFonts w:eastAsiaTheme="minorHAnsi" w:cstheme="minorBidi"/>
          <w:noProof/>
          <w:szCs w:val="22"/>
          <w:lang w:eastAsia="en-US"/>
        </w:rPr>
        <w:t xml:space="preserve"> газа</w:t>
      </w:r>
      <w:r w:rsidR="00E814D1">
        <w:rPr>
          <w:rFonts w:eastAsiaTheme="minorHAnsi" w:cstheme="minorBidi"/>
          <w:noProof/>
          <w:szCs w:val="22"/>
          <w:lang w:eastAsia="en-US"/>
        </w:rPr>
        <w:t xml:space="preserve"> – </w:t>
      </w:r>
      <w:r w:rsidR="00691359" w:rsidRPr="0046341A">
        <w:rPr>
          <w:rFonts w:eastAsiaTheme="minorHAnsi" w:cstheme="minorBidi"/>
          <w:noProof/>
          <w:szCs w:val="22"/>
          <w:lang w:eastAsia="en-US"/>
        </w:rPr>
        <w:t>ачимовских и юрских залежей</w:t>
      </w:r>
      <w:r w:rsidR="0079124B">
        <w:rPr>
          <w:rFonts w:eastAsiaTheme="minorHAnsi" w:cstheme="minorBidi"/>
          <w:noProof/>
          <w:szCs w:val="22"/>
          <w:lang w:eastAsia="en-US"/>
        </w:rPr>
        <w:t xml:space="preserve"> </w:t>
      </w:r>
      <w:r w:rsidR="00E814D1">
        <w:rPr>
          <w:rFonts w:eastAsiaTheme="minorHAnsi" w:cstheme="minorBidi"/>
          <w:noProof/>
          <w:szCs w:val="22"/>
          <w:lang w:eastAsia="en-US"/>
        </w:rPr>
        <w:t xml:space="preserve">– </w:t>
      </w:r>
      <w:r w:rsidR="00E814D1" w:rsidRPr="00BA666C">
        <w:rPr>
          <w:rFonts w:eastAsiaTheme="minorHAnsi" w:cstheme="minorBidi"/>
          <w:noProof/>
          <w:color w:val="0000FF"/>
          <w:szCs w:val="22"/>
          <w:lang w:eastAsia="en-US"/>
        </w:rPr>
        <w:t>позволя</w:t>
      </w:r>
      <w:r w:rsidR="00BA666C" w:rsidRPr="00BA666C">
        <w:rPr>
          <w:rFonts w:eastAsiaTheme="minorHAnsi" w:cstheme="minorBidi"/>
          <w:noProof/>
          <w:color w:val="0000FF"/>
          <w:szCs w:val="22"/>
          <w:lang w:eastAsia="en-US"/>
        </w:rPr>
        <w:t>ю</w:t>
      </w:r>
      <w:r w:rsidR="00E814D1" w:rsidRPr="00BA666C">
        <w:rPr>
          <w:rFonts w:eastAsiaTheme="minorHAnsi" w:cstheme="minorBidi"/>
          <w:noProof/>
          <w:color w:val="0000FF"/>
          <w:szCs w:val="22"/>
          <w:lang w:eastAsia="en-US"/>
        </w:rPr>
        <w:t xml:space="preserve">т </w:t>
      </w:r>
      <w:r w:rsidR="00E814D1">
        <w:rPr>
          <w:rFonts w:eastAsiaTheme="minorHAnsi" w:cstheme="minorBidi"/>
          <w:noProof/>
          <w:szCs w:val="22"/>
          <w:lang w:eastAsia="en-US"/>
        </w:rPr>
        <w:t xml:space="preserve">вывести проекты их освоения на требуемый </w:t>
      </w:r>
      <w:r w:rsidR="00445661">
        <w:rPr>
          <w:rFonts w:eastAsiaTheme="minorHAnsi" w:cstheme="minorBidi"/>
          <w:noProof/>
          <w:szCs w:val="22"/>
          <w:lang w:eastAsia="en-US"/>
        </w:rPr>
        <w:t xml:space="preserve">инвесторами </w:t>
      </w:r>
      <w:r w:rsidR="00E814D1">
        <w:rPr>
          <w:rFonts w:eastAsiaTheme="minorHAnsi" w:cstheme="minorBidi"/>
          <w:noProof/>
          <w:szCs w:val="22"/>
          <w:lang w:eastAsia="en-US"/>
        </w:rPr>
        <w:t>уровень рентабельности. При этом налоговы</w:t>
      </w:r>
      <w:r w:rsidR="0060233B">
        <w:rPr>
          <w:rFonts w:eastAsiaTheme="minorHAnsi" w:cstheme="minorBidi"/>
          <w:noProof/>
          <w:szCs w:val="22"/>
          <w:lang w:eastAsia="en-US"/>
        </w:rPr>
        <w:t>е</w:t>
      </w:r>
      <w:r w:rsidR="00E814D1">
        <w:rPr>
          <w:rFonts w:eastAsiaTheme="minorHAnsi" w:cstheme="minorBidi"/>
          <w:noProof/>
          <w:szCs w:val="22"/>
          <w:lang w:eastAsia="en-US"/>
        </w:rPr>
        <w:t xml:space="preserve"> </w:t>
      </w:r>
      <w:r w:rsidR="0079124B">
        <w:rPr>
          <w:rFonts w:eastAsiaTheme="minorHAnsi" w:cstheme="minorBidi"/>
          <w:noProof/>
          <w:szCs w:val="22"/>
          <w:lang w:eastAsia="en-US"/>
        </w:rPr>
        <w:t xml:space="preserve">поступления </w:t>
      </w:r>
      <w:r w:rsidR="0060233B">
        <w:rPr>
          <w:rFonts w:eastAsiaTheme="minorHAnsi" w:cstheme="minorBidi"/>
          <w:noProof/>
          <w:szCs w:val="22"/>
          <w:lang w:eastAsia="en-US"/>
        </w:rPr>
        <w:t>государства</w:t>
      </w:r>
      <w:r w:rsidR="00E814D1">
        <w:rPr>
          <w:rFonts w:eastAsiaTheme="minorHAnsi" w:cstheme="minorBidi"/>
          <w:noProof/>
          <w:szCs w:val="22"/>
          <w:lang w:eastAsia="en-US"/>
        </w:rPr>
        <w:t xml:space="preserve"> буд</w:t>
      </w:r>
      <w:r w:rsidR="0060233B">
        <w:rPr>
          <w:rFonts w:eastAsiaTheme="minorHAnsi" w:cstheme="minorBidi"/>
          <w:noProof/>
          <w:szCs w:val="22"/>
          <w:lang w:eastAsia="en-US"/>
        </w:rPr>
        <w:t>у</w:t>
      </w:r>
      <w:r w:rsidR="00E814D1">
        <w:rPr>
          <w:rFonts w:eastAsiaTheme="minorHAnsi" w:cstheme="minorBidi"/>
          <w:noProof/>
          <w:szCs w:val="22"/>
          <w:lang w:eastAsia="en-US"/>
        </w:rPr>
        <w:t xml:space="preserve">т на уровне </w:t>
      </w:r>
      <w:r w:rsidR="0079124B">
        <w:rPr>
          <w:rFonts w:eastAsiaTheme="minorHAnsi" w:cstheme="minorBidi"/>
          <w:noProof/>
          <w:szCs w:val="22"/>
          <w:lang w:eastAsia="en-US"/>
        </w:rPr>
        <w:t>доход</w:t>
      </w:r>
      <w:r w:rsidR="00E814D1">
        <w:rPr>
          <w:rFonts w:eastAsiaTheme="minorHAnsi" w:cstheme="minorBidi"/>
          <w:noProof/>
          <w:szCs w:val="22"/>
          <w:lang w:eastAsia="en-US"/>
        </w:rPr>
        <w:t xml:space="preserve">ов, получаемых при добыче </w:t>
      </w:r>
      <w:r w:rsidR="0079124B">
        <w:rPr>
          <w:rFonts w:eastAsiaTheme="minorHAnsi" w:cstheme="minorBidi"/>
          <w:noProof/>
          <w:szCs w:val="22"/>
          <w:lang w:eastAsia="en-US"/>
        </w:rPr>
        <w:t xml:space="preserve">аналогичного объема </w:t>
      </w:r>
      <w:r w:rsidR="00E814D1">
        <w:rPr>
          <w:rFonts w:eastAsiaTheme="minorHAnsi" w:cstheme="minorBidi"/>
          <w:noProof/>
          <w:szCs w:val="22"/>
          <w:lang w:eastAsia="en-US"/>
        </w:rPr>
        <w:t>сеноманского газа</w:t>
      </w:r>
      <w:r w:rsidR="0079124B">
        <w:rPr>
          <w:rFonts w:eastAsiaTheme="minorHAnsi" w:cstheme="minorBidi"/>
          <w:noProof/>
          <w:szCs w:val="22"/>
          <w:lang w:eastAsia="en-US"/>
        </w:rPr>
        <w:t>. Такой эффект связан с</w:t>
      </w:r>
      <w:r w:rsidR="005B4E9A">
        <w:rPr>
          <w:rFonts w:eastAsiaTheme="minorHAnsi" w:cstheme="minorBidi"/>
          <w:noProof/>
          <w:szCs w:val="22"/>
          <w:lang w:eastAsia="en-US"/>
        </w:rPr>
        <w:t xml:space="preserve"> включением в состав целевых </w:t>
      </w:r>
      <w:r w:rsidR="005B4E9A" w:rsidRPr="00BA666C">
        <w:rPr>
          <w:rFonts w:eastAsiaTheme="minorHAnsi" w:cstheme="minorBidi"/>
          <w:noProof/>
          <w:color w:val="0000FF"/>
          <w:szCs w:val="22"/>
          <w:lang w:eastAsia="en-US"/>
        </w:rPr>
        <w:t>про</w:t>
      </w:r>
      <w:r w:rsidR="00BA666C" w:rsidRPr="00BA666C">
        <w:rPr>
          <w:rFonts w:eastAsiaTheme="minorHAnsi" w:cstheme="minorBidi"/>
          <w:noProof/>
          <w:color w:val="0000FF"/>
          <w:szCs w:val="22"/>
          <w:lang w:eastAsia="en-US"/>
        </w:rPr>
        <w:t>д</w:t>
      </w:r>
      <w:r w:rsidR="005B4E9A" w:rsidRPr="00BA666C">
        <w:rPr>
          <w:rFonts w:eastAsiaTheme="minorHAnsi" w:cstheme="minorBidi"/>
          <w:noProof/>
          <w:color w:val="0000FF"/>
          <w:szCs w:val="22"/>
          <w:lang w:eastAsia="en-US"/>
        </w:rPr>
        <w:t>уктов</w:t>
      </w:r>
      <w:r w:rsidR="005B4E9A">
        <w:rPr>
          <w:rFonts w:eastAsiaTheme="minorHAnsi" w:cstheme="minorBidi"/>
          <w:noProof/>
          <w:szCs w:val="22"/>
          <w:lang w:eastAsia="en-US"/>
        </w:rPr>
        <w:t xml:space="preserve"> газового </w:t>
      </w:r>
      <w:r w:rsidR="00E814D1">
        <w:rPr>
          <w:rFonts w:eastAsiaTheme="minorHAnsi" w:cstheme="minorBidi"/>
          <w:noProof/>
          <w:szCs w:val="22"/>
          <w:lang w:eastAsia="en-US"/>
        </w:rPr>
        <w:t>конденсата</w:t>
      </w:r>
      <w:r w:rsidR="005B4E9A">
        <w:rPr>
          <w:rFonts w:eastAsiaTheme="minorHAnsi" w:cstheme="minorBidi"/>
          <w:noProof/>
          <w:szCs w:val="22"/>
          <w:lang w:eastAsia="en-US"/>
        </w:rPr>
        <w:t>.</w:t>
      </w:r>
      <w:r w:rsidR="005C7FA1">
        <w:rPr>
          <w:rFonts w:eastAsiaTheme="minorHAnsi" w:cstheme="minorBidi"/>
          <w:noProof/>
          <w:szCs w:val="22"/>
          <w:lang w:eastAsia="en-US"/>
        </w:rPr>
        <w:t xml:space="preserve"> </w:t>
      </w:r>
      <w:r w:rsidR="005B4E9A">
        <w:rPr>
          <w:rFonts w:eastAsiaTheme="minorHAnsi" w:cstheme="minorBidi"/>
          <w:noProof/>
          <w:szCs w:val="22"/>
          <w:lang w:eastAsia="en-US"/>
        </w:rPr>
        <w:t xml:space="preserve">В свою очередь, </w:t>
      </w:r>
      <w:r w:rsidR="001956CC">
        <w:rPr>
          <w:rFonts w:eastAsiaTheme="minorHAnsi" w:cstheme="minorBidi"/>
          <w:noProof/>
          <w:szCs w:val="22"/>
          <w:lang w:eastAsia="en-US"/>
        </w:rPr>
        <w:t>п</w:t>
      </w:r>
      <w:r w:rsidR="00032392" w:rsidRPr="0046341A">
        <w:rPr>
          <w:rFonts w:eastAsiaTheme="minorHAnsi" w:cstheme="minorBidi"/>
          <w:noProof/>
          <w:szCs w:val="22"/>
          <w:lang w:eastAsia="en-US"/>
        </w:rPr>
        <w:t>ри реализации СПГ-проект</w:t>
      </w:r>
      <w:r w:rsidR="00032392">
        <w:rPr>
          <w:rFonts w:eastAsiaTheme="minorHAnsi" w:cstheme="minorBidi"/>
          <w:noProof/>
          <w:szCs w:val="22"/>
          <w:lang w:eastAsia="en-US"/>
        </w:rPr>
        <w:t>ов</w:t>
      </w:r>
      <w:r w:rsidR="00032392" w:rsidRPr="0046341A">
        <w:rPr>
          <w:rFonts w:eastAsiaTheme="minorHAnsi" w:cstheme="minorBidi"/>
          <w:noProof/>
          <w:szCs w:val="22"/>
          <w:lang w:eastAsia="en-US"/>
        </w:rPr>
        <w:t xml:space="preserve">, даже в случае </w:t>
      </w:r>
      <w:r w:rsidR="00BA666C" w:rsidRPr="00BA666C">
        <w:rPr>
          <w:rFonts w:eastAsiaTheme="minorHAnsi" w:cstheme="minorBidi"/>
          <w:noProof/>
          <w:color w:val="0000FF"/>
          <w:szCs w:val="22"/>
          <w:lang w:eastAsia="en-US"/>
        </w:rPr>
        <w:t>использования</w:t>
      </w:r>
      <w:r w:rsidR="00BA666C">
        <w:rPr>
          <w:rFonts w:eastAsiaTheme="minorHAnsi" w:cstheme="minorBidi"/>
          <w:noProof/>
          <w:szCs w:val="22"/>
          <w:lang w:eastAsia="en-US"/>
        </w:rPr>
        <w:t xml:space="preserve"> </w:t>
      </w:r>
      <w:r w:rsidR="00032392" w:rsidRPr="0046341A">
        <w:rPr>
          <w:rFonts w:eastAsiaTheme="minorHAnsi" w:cstheme="minorBidi"/>
          <w:noProof/>
          <w:szCs w:val="22"/>
          <w:lang w:eastAsia="en-US"/>
        </w:rPr>
        <w:t>налоговы</w:t>
      </w:r>
      <w:r w:rsidR="00032392">
        <w:rPr>
          <w:rFonts w:eastAsiaTheme="minorHAnsi" w:cstheme="minorBidi"/>
          <w:noProof/>
          <w:szCs w:val="22"/>
          <w:lang w:eastAsia="en-US"/>
        </w:rPr>
        <w:t xml:space="preserve">х </w:t>
      </w:r>
      <w:r w:rsidR="00BA666C" w:rsidRPr="00BA666C">
        <w:rPr>
          <w:rFonts w:eastAsiaTheme="minorHAnsi" w:cstheme="minorBidi"/>
          <w:noProof/>
          <w:color w:val="0000FF"/>
          <w:szCs w:val="22"/>
          <w:lang w:eastAsia="en-US"/>
        </w:rPr>
        <w:t>стимулов</w:t>
      </w:r>
      <w:r w:rsidR="00032392">
        <w:rPr>
          <w:rFonts w:eastAsiaTheme="minorHAnsi" w:cstheme="minorBidi"/>
          <w:noProof/>
          <w:szCs w:val="22"/>
          <w:lang w:eastAsia="en-US"/>
        </w:rPr>
        <w:t>,</w:t>
      </w:r>
      <w:r w:rsidR="00032392" w:rsidRPr="0046341A">
        <w:rPr>
          <w:rFonts w:eastAsiaTheme="minorHAnsi" w:cstheme="minorBidi"/>
          <w:noProof/>
          <w:szCs w:val="22"/>
          <w:lang w:eastAsia="en-US"/>
        </w:rPr>
        <w:t xml:space="preserve"> поступления государству не ниже, чем при </w:t>
      </w:r>
      <w:r w:rsidR="00032392">
        <w:rPr>
          <w:rFonts w:eastAsiaTheme="minorHAnsi" w:cstheme="minorBidi"/>
          <w:noProof/>
          <w:szCs w:val="22"/>
          <w:lang w:eastAsia="en-US"/>
        </w:rPr>
        <w:t>существ</w:t>
      </w:r>
      <w:r w:rsidR="00032392" w:rsidRPr="0046341A">
        <w:rPr>
          <w:rFonts w:eastAsiaTheme="minorHAnsi" w:cstheme="minorBidi"/>
          <w:noProof/>
          <w:szCs w:val="22"/>
          <w:lang w:eastAsia="en-US"/>
        </w:rPr>
        <w:t>у</w:t>
      </w:r>
      <w:r w:rsidR="00032392">
        <w:rPr>
          <w:rFonts w:eastAsiaTheme="minorHAnsi" w:cstheme="minorBidi"/>
          <w:noProof/>
          <w:szCs w:val="22"/>
          <w:lang w:eastAsia="en-US"/>
        </w:rPr>
        <w:t>ю</w:t>
      </w:r>
      <w:r w:rsidR="00032392" w:rsidRPr="0046341A">
        <w:rPr>
          <w:rFonts w:eastAsiaTheme="minorHAnsi" w:cstheme="minorBidi"/>
          <w:noProof/>
          <w:szCs w:val="22"/>
          <w:lang w:eastAsia="en-US"/>
        </w:rPr>
        <w:t xml:space="preserve">щем налогообложении </w:t>
      </w:r>
      <w:r w:rsidR="00032392">
        <w:rPr>
          <w:rFonts w:eastAsiaTheme="minorHAnsi" w:cstheme="minorBidi"/>
          <w:noProof/>
          <w:szCs w:val="22"/>
          <w:lang w:eastAsia="en-US"/>
        </w:rPr>
        <w:t xml:space="preserve">добычи газа и его поставках </w:t>
      </w:r>
      <w:r w:rsidR="00032392" w:rsidRPr="0046341A">
        <w:rPr>
          <w:rFonts w:eastAsiaTheme="minorHAnsi" w:cstheme="minorBidi"/>
          <w:noProof/>
          <w:szCs w:val="22"/>
          <w:lang w:eastAsia="en-US"/>
        </w:rPr>
        <w:t>трубопроводны</w:t>
      </w:r>
      <w:r w:rsidR="00032392">
        <w:rPr>
          <w:rFonts w:eastAsiaTheme="minorHAnsi" w:cstheme="minorBidi"/>
          <w:noProof/>
          <w:szCs w:val="22"/>
          <w:lang w:eastAsia="en-US"/>
        </w:rPr>
        <w:t>м транспортом</w:t>
      </w:r>
      <w:r w:rsidR="007C2BB7">
        <w:rPr>
          <w:rFonts w:eastAsiaTheme="minorHAnsi" w:cstheme="minorBidi"/>
          <w:noProof/>
          <w:szCs w:val="22"/>
          <w:lang w:eastAsia="en-US"/>
        </w:rPr>
        <w:t xml:space="preserve">. </w:t>
      </w:r>
      <w:r w:rsidR="00376522">
        <w:rPr>
          <w:rFonts w:eastAsiaTheme="minorHAnsi" w:cstheme="minorBidi"/>
          <w:noProof/>
          <w:szCs w:val="22"/>
          <w:lang w:eastAsia="en-US"/>
        </w:rPr>
        <w:t>Это обстоятлеьство связано с тем, что СПГ-</w:t>
      </w:r>
      <w:r w:rsidR="00E03D81">
        <w:rPr>
          <w:rFonts w:eastAsiaTheme="minorHAnsi" w:cstheme="minorBidi"/>
          <w:noProof/>
          <w:szCs w:val="22"/>
          <w:lang w:eastAsia="en-US"/>
        </w:rPr>
        <w:t>проекты</w:t>
      </w:r>
      <w:r w:rsidR="00376522">
        <w:rPr>
          <w:rFonts w:eastAsiaTheme="minorHAnsi" w:cstheme="minorBidi"/>
          <w:noProof/>
          <w:szCs w:val="22"/>
          <w:lang w:eastAsia="en-US"/>
        </w:rPr>
        <w:t xml:space="preserve"> </w:t>
      </w:r>
      <w:r w:rsidR="00E03D81">
        <w:rPr>
          <w:rFonts w:eastAsiaTheme="minorHAnsi" w:cstheme="minorBidi"/>
          <w:noProof/>
          <w:szCs w:val="22"/>
          <w:lang w:eastAsia="en-US"/>
        </w:rPr>
        <w:t>характеризуются более высокой капитаемкостью и</w:t>
      </w:r>
      <w:r w:rsidR="00376522">
        <w:rPr>
          <w:rFonts w:eastAsiaTheme="minorHAnsi" w:cstheme="minorBidi"/>
          <w:noProof/>
          <w:szCs w:val="22"/>
          <w:lang w:eastAsia="en-US"/>
        </w:rPr>
        <w:t xml:space="preserve"> большей </w:t>
      </w:r>
      <w:r w:rsidR="002558D2">
        <w:rPr>
          <w:rFonts w:eastAsiaTheme="minorHAnsi" w:cstheme="minorBidi"/>
          <w:noProof/>
          <w:szCs w:val="22"/>
          <w:lang w:eastAsia="en-US"/>
        </w:rPr>
        <w:t>гибкостью направлений поставок и последующего использовния сжиженного газа.</w:t>
      </w:r>
    </w:p>
    <w:p w14:paraId="246CE6B9" w14:textId="275CAB9A" w:rsidR="0060233B" w:rsidRPr="00CB2EF7" w:rsidRDefault="0079124B" w:rsidP="0060233B">
      <w:pPr>
        <w:pStyle w:val="a3"/>
        <w:rPr>
          <w:rFonts w:eastAsiaTheme="minorHAnsi" w:cstheme="minorBidi"/>
          <w:noProof/>
          <w:szCs w:val="22"/>
          <w:lang w:eastAsia="en-US"/>
        </w:rPr>
      </w:pPr>
      <w:r>
        <w:rPr>
          <w:rFonts w:eastAsiaTheme="minorHAnsi" w:cstheme="minorBidi"/>
          <w:noProof/>
          <w:szCs w:val="22"/>
          <w:lang w:eastAsia="en-US"/>
        </w:rPr>
        <w:t>Показано, что д</w:t>
      </w:r>
      <w:r w:rsidR="0060233B" w:rsidRPr="0046341A">
        <w:rPr>
          <w:rFonts w:eastAsiaTheme="minorHAnsi" w:cstheme="minorBidi"/>
          <w:noProof/>
          <w:szCs w:val="22"/>
          <w:lang w:eastAsia="en-US"/>
        </w:rPr>
        <w:t>ля увеличения добычи и производства ВТ-газа важн</w:t>
      </w:r>
      <w:r w:rsidR="001E6172">
        <w:rPr>
          <w:rFonts w:eastAsiaTheme="minorHAnsi" w:cstheme="minorBidi"/>
          <w:noProof/>
          <w:szCs w:val="22"/>
          <w:lang w:eastAsia="en-US"/>
        </w:rPr>
        <w:t xml:space="preserve">ую роль играет формирование условий для ускоренного </w:t>
      </w:r>
      <w:r w:rsidR="0060233B" w:rsidRPr="0046341A">
        <w:rPr>
          <w:rFonts w:eastAsiaTheme="minorHAnsi" w:cstheme="minorBidi"/>
          <w:noProof/>
          <w:szCs w:val="22"/>
          <w:lang w:eastAsia="en-US"/>
        </w:rPr>
        <w:t>развити</w:t>
      </w:r>
      <w:r w:rsidR="001E6172">
        <w:rPr>
          <w:rFonts w:eastAsiaTheme="minorHAnsi" w:cstheme="minorBidi"/>
          <w:noProof/>
          <w:szCs w:val="22"/>
          <w:lang w:eastAsia="en-US"/>
        </w:rPr>
        <w:t>я</w:t>
      </w:r>
      <w:r w:rsidR="0060233B" w:rsidRPr="0046341A">
        <w:rPr>
          <w:rFonts w:eastAsiaTheme="minorHAnsi" w:cstheme="minorBidi"/>
          <w:noProof/>
          <w:szCs w:val="22"/>
          <w:lang w:eastAsia="en-US"/>
        </w:rPr>
        <w:t xml:space="preserve"> смежных отраслей, прежде всего, нефтегазового сервиса и </w:t>
      </w:r>
      <w:r w:rsidR="0060233B" w:rsidRPr="00CB2EF7">
        <w:rPr>
          <w:rFonts w:eastAsiaTheme="minorHAnsi" w:cstheme="minorBidi"/>
          <w:noProof/>
          <w:szCs w:val="22"/>
          <w:lang w:eastAsia="en-US"/>
        </w:rPr>
        <w:t xml:space="preserve">машиностроения, что может </w:t>
      </w:r>
      <w:r w:rsidR="0060233B" w:rsidRPr="00CB2EF7">
        <w:rPr>
          <w:rFonts w:eastAsiaTheme="minorHAnsi" w:cstheme="minorBidi"/>
          <w:noProof/>
          <w:szCs w:val="22"/>
          <w:lang w:eastAsia="en-US"/>
        </w:rPr>
        <w:lastRenderedPageBreak/>
        <w:t xml:space="preserve">быть </w:t>
      </w:r>
      <w:r w:rsidR="00345959" w:rsidRPr="00CB2EF7">
        <w:rPr>
          <w:rFonts w:eastAsiaTheme="minorHAnsi" w:cstheme="minorBidi"/>
          <w:noProof/>
          <w:szCs w:val="22"/>
          <w:lang w:eastAsia="en-US"/>
        </w:rPr>
        <w:t xml:space="preserve">обеспечено </w:t>
      </w:r>
      <w:r w:rsidR="0060233B" w:rsidRPr="00CB2EF7">
        <w:rPr>
          <w:rFonts w:eastAsiaTheme="minorHAnsi" w:cstheme="minorBidi"/>
          <w:noProof/>
          <w:szCs w:val="22"/>
          <w:lang w:eastAsia="en-US"/>
        </w:rPr>
        <w:t xml:space="preserve">только </w:t>
      </w:r>
      <w:r w:rsidR="00345959" w:rsidRPr="00CB2EF7">
        <w:rPr>
          <w:rFonts w:eastAsiaTheme="minorHAnsi" w:cstheme="minorBidi"/>
          <w:noProof/>
          <w:szCs w:val="22"/>
          <w:lang w:eastAsia="en-US"/>
        </w:rPr>
        <w:t xml:space="preserve">при </w:t>
      </w:r>
      <w:r w:rsidR="006400F3">
        <w:rPr>
          <w:rFonts w:eastAsiaTheme="minorHAnsi" w:cstheme="minorBidi"/>
          <w:noProof/>
          <w:szCs w:val="22"/>
          <w:lang w:eastAsia="en-US"/>
        </w:rPr>
        <w:t>тесной</w:t>
      </w:r>
      <w:r w:rsidR="001E6172">
        <w:rPr>
          <w:rFonts w:eastAsiaTheme="minorHAnsi" w:cstheme="minorBidi"/>
          <w:noProof/>
          <w:szCs w:val="22"/>
          <w:lang w:eastAsia="en-US"/>
        </w:rPr>
        <w:t xml:space="preserve"> </w:t>
      </w:r>
      <w:r w:rsidR="00345959" w:rsidRPr="00CB2EF7">
        <w:rPr>
          <w:rFonts w:eastAsiaTheme="minorHAnsi" w:cstheme="minorBidi"/>
          <w:noProof/>
          <w:szCs w:val="22"/>
          <w:lang w:eastAsia="en-US"/>
        </w:rPr>
        <w:t xml:space="preserve">кооперации участников этих проектов </w:t>
      </w:r>
      <w:r w:rsidR="0060233B" w:rsidRPr="00CB2EF7">
        <w:rPr>
          <w:rFonts w:eastAsiaTheme="minorHAnsi" w:cstheme="minorBidi"/>
          <w:noProof/>
          <w:szCs w:val="22"/>
          <w:lang w:eastAsia="en-US"/>
        </w:rPr>
        <w:t>с использованием механизмов индикативного планирования</w:t>
      </w:r>
      <w:r w:rsidR="00345959" w:rsidRPr="00CB2EF7">
        <w:rPr>
          <w:rFonts w:eastAsiaTheme="minorHAnsi" w:cstheme="minorBidi"/>
          <w:noProof/>
          <w:szCs w:val="22"/>
          <w:lang w:eastAsia="en-US"/>
        </w:rPr>
        <w:t>.</w:t>
      </w:r>
    </w:p>
    <w:p w14:paraId="40DC792D" w14:textId="6EE42E5F" w:rsidR="00691359" w:rsidRPr="00CB2EF7" w:rsidRDefault="00691359" w:rsidP="003E6FCB">
      <w:pPr>
        <w:pStyle w:val="a3"/>
        <w:rPr>
          <w:rFonts w:eastAsiaTheme="minorHAnsi" w:cstheme="minorBidi"/>
          <w:noProof/>
          <w:szCs w:val="22"/>
          <w:lang w:eastAsia="en-US"/>
        </w:rPr>
      </w:pPr>
    </w:p>
    <w:p w14:paraId="6AA68A4D" w14:textId="01607B6E" w:rsidR="003E6FCB" w:rsidRDefault="003E6FCB" w:rsidP="003E6FCB">
      <w:pPr>
        <w:pStyle w:val="a3"/>
        <w:rPr>
          <w:rFonts w:eastAsiaTheme="minorHAnsi" w:cstheme="minorBidi"/>
          <w:noProof/>
          <w:szCs w:val="22"/>
          <w:lang w:eastAsia="en-US"/>
        </w:rPr>
      </w:pPr>
      <w:r w:rsidRPr="00CB2EF7">
        <w:rPr>
          <w:rFonts w:eastAsiaTheme="minorHAnsi" w:cstheme="minorBidi"/>
          <w:i/>
          <w:iCs/>
          <w:noProof/>
          <w:szCs w:val="22"/>
          <w:lang w:eastAsia="en-US"/>
        </w:rPr>
        <w:t>Ключевые слова</w:t>
      </w:r>
      <w:r w:rsidRPr="00CB2EF7">
        <w:rPr>
          <w:rFonts w:eastAsiaTheme="minorHAnsi" w:cstheme="minorBidi"/>
          <w:noProof/>
          <w:szCs w:val="22"/>
          <w:lang w:eastAsia="en-US"/>
        </w:rPr>
        <w:t xml:space="preserve">: </w:t>
      </w:r>
      <w:r w:rsidR="007C2BB7" w:rsidRPr="00CB2EF7">
        <w:rPr>
          <w:rFonts w:eastAsiaTheme="minorHAnsi" w:cstheme="minorBidi"/>
          <w:noProof/>
          <w:szCs w:val="22"/>
          <w:lang w:eastAsia="en-US"/>
        </w:rPr>
        <w:t xml:space="preserve">высокотехнологичный </w:t>
      </w:r>
      <w:r>
        <w:rPr>
          <w:rFonts w:eastAsiaTheme="minorHAnsi" w:cstheme="minorBidi"/>
          <w:noProof/>
          <w:szCs w:val="22"/>
          <w:lang w:eastAsia="en-US"/>
        </w:rPr>
        <w:t xml:space="preserve">газ, ачимовские и юрские </w:t>
      </w:r>
      <w:r w:rsidR="00691359">
        <w:rPr>
          <w:rFonts w:eastAsiaTheme="minorHAnsi" w:cstheme="minorBidi"/>
          <w:noProof/>
          <w:szCs w:val="22"/>
          <w:lang w:eastAsia="en-US"/>
        </w:rPr>
        <w:t>залежи</w:t>
      </w:r>
      <w:r>
        <w:rPr>
          <w:rFonts w:eastAsiaTheme="minorHAnsi" w:cstheme="minorBidi"/>
          <w:noProof/>
          <w:szCs w:val="22"/>
          <w:lang w:eastAsia="en-US"/>
        </w:rPr>
        <w:t>, Я</w:t>
      </w:r>
      <w:r w:rsidR="00CE68E5">
        <w:rPr>
          <w:rFonts w:eastAsiaTheme="minorHAnsi" w:cstheme="minorBidi"/>
          <w:noProof/>
          <w:szCs w:val="22"/>
          <w:lang w:eastAsia="en-US"/>
        </w:rPr>
        <w:t>мало-</w:t>
      </w:r>
      <w:r>
        <w:rPr>
          <w:rFonts w:eastAsiaTheme="minorHAnsi" w:cstheme="minorBidi"/>
          <w:noProof/>
          <w:szCs w:val="22"/>
          <w:lang w:eastAsia="en-US"/>
        </w:rPr>
        <w:t>Н</w:t>
      </w:r>
      <w:r w:rsidR="00CE68E5">
        <w:rPr>
          <w:rFonts w:eastAsiaTheme="minorHAnsi" w:cstheme="minorBidi"/>
          <w:noProof/>
          <w:szCs w:val="22"/>
          <w:lang w:eastAsia="en-US"/>
        </w:rPr>
        <w:t>енецкий автономный округ</w:t>
      </w:r>
      <w:r>
        <w:rPr>
          <w:rFonts w:eastAsiaTheme="minorHAnsi" w:cstheme="minorBidi"/>
          <w:noProof/>
          <w:szCs w:val="22"/>
          <w:lang w:eastAsia="en-US"/>
        </w:rPr>
        <w:t xml:space="preserve">, </w:t>
      </w:r>
      <w:r w:rsidR="00E2197D" w:rsidRPr="00445661">
        <w:t>индикативно</w:t>
      </w:r>
      <w:r w:rsidR="00E2197D">
        <w:t>е</w:t>
      </w:r>
      <w:r w:rsidR="00E2197D" w:rsidRPr="00445661">
        <w:t xml:space="preserve"> планировани</w:t>
      </w:r>
      <w:r w:rsidR="00E2197D">
        <w:t>е,</w:t>
      </w:r>
      <w:r w:rsidR="00E2197D">
        <w:rPr>
          <w:rFonts w:eastAsiaTheme="minorHAnsi" w:cstheme="minorBidi"/>
          <w:noProof/>
          <w:szCs w:val="22"/>
          <w:lang w:eastAsia="en-US"/>
        </w:rPr>
        <w:t xml:space="preserve"> </w:t>
      </w:r>
      <w:r>
        <w:rPr>
          <w:rFonts w:eastAsiaTheme="minorHAnsi" w:cstheme="minorBidi"/>
          <w:noProof/>
          <w:szCs w:val="22"/>
          <w:lang w:eastAsia="en-US"/>
        </w:rPr>
        <w:t>налоги</w:t>
      </w:r>
      <w:r w:rsidR="00976C03">
        <w:rPr>
          <w:rFonts w:eastAsiaTheme="minorHAnsi" w:cstheme="minorBidi"/>
          <w:noProof/>
          <w:szCs w:val="22"/>
          <w:lang w:eastAsia="en-US"/>
        </w:rPr>
        <w:t>,</w:t>
      </w:r>
      <w:r>
        <w:rPr>
          <w:rFonts w:eastAsiaTheme="minorHAnsi" w:cstheme="minorBidi"/>
          <w:noProof/>
          <w:szCs w:val="22"/>
          <w:lang w:eastAsia="en-US"/>
        </w:rPr>
        <w:t xml:space="preserve"> </w:t>
      </w:r>
      <w:r w:rsidR="00CB2EF7">
        <w:rPr>
          <w:rFonts w:eastAsiaTheme="minorHAnsi" w:cstheme="minorBidi"/>
          <w:noProof/>
          <w:szCs w:val="22"/>
          <w:lang w:eastAsia="en-US"/>
        </w:rPr>
        <w:t xml:space="preserve">нефтегазовое </w:t>
      </w:r>
      <w:r>
        <w:rPr>
          <w:rFonts w:eastAsiaTheme="minorHAnsi" w:cstheme="minorBidi"/>
          <w:noProof/>
          <w:szCs w:val="22"/>
          <w:lang w:eastAsia="en-US"/>
        </w:rPr>
        <w:t xml:space="preserve">машиностроение, </w:t>
      </w:r>
      <w:r w:rsidR="00CB2EF7">
        <w:t>трудноизвлекаемые запасы</w:t>
      </w:r>
      <w:r>
        <w:t xml:space="preserve">, </w:t>
      </w:r>
      <w:r w:rsidR="00CB2EF7" w:rsidRPr="005C7FA1">
        <w:rPr>
          <w:rFonts w:eastAsiaTheme="minorHAnsi" w:cstheme="minorBidi"/>
          <w:noProof/>
          <w:szCs w:val="22"/>
          <w:lang w:eastAsia="en-US"/>
        </w:rPr>
        <w:t>сжиженн</w:t>
      </w:r>
      <w:r w:rsidR="00CB2EF7">
        <w:rPr>
          <w:rFonts w:eastAsiaTheme="minorHAnsi" w:cstheme="minorBidi"/>
          <w:noProof/>
          <w:szCs w:val="22"/>
          <w:lang w:eastAsia="en-US"/>
        </w:rPr>
        <w:t>ый</w:t>
      </w:r>
      <w:r w:rsidR="00CB2EF7" w:rsidRPr="005C7FA1">
        <w:rPr>
          <w:rFonts w:eastAsiaTheme="minorHAnsi" w:cstheme="minorBidi"/>
          <w:noProof/>
          <w:szCs w:val="22"/>
          <w:lang w:eastAsia="en-US"/>
        </w:rPr>
        <w:t xml:space="preserve"> природн</w:t>
      </w:r>
      <w:r w:rsidR="00CB2EF7">
        <w:rPr>
          <w:rFonts w:eastAsiaTheme="minorHAnsi" w:cstheme="minorBidi"/>
          <w:noProof/>
          <w:szCs w:val="22"/>
          <w:lang w:eastAsia="en-US"/>
        </w:rPr>
        <w:t>ый</w:t>
      </w:r>
      <w:r w:rsidR="00CB2EF7" w:rsidRPr="005C7FA1">
        <w:rPr>
          <w:rFonts w:eastAsiaTheme="minorHAnsi" w:cstheme="minorBidi"/>
          <w:noProof/>
          <w:szCs w:val="22"/>
          <w:lang w:eastAsia="en-US"/>
        </w:rPr>
        <w:t xml:space="preserve"> газ</w:t>
      </w:r>
    </w:p>
    <w:p w14:paraId="1762D5A4" w14:textId="77777777" w:rsidR="00CF2B67" w:rsidRPr="00CE68E5" w:rsidRDefault="00CF2B67" w:rsidP="003E6FCB">
      <w:pPr>
        <w:pStyle w:val="a3"/>
      </w:pPr>
    </w:p>
    <w:p w14:paraId="5CCA398F" w14:textId="1C93D24B" w:rsidR="00C8725C" w:rsidRDefault="00C8725C" w:rsidP="00C8725C">
      <w:pPr>
        <w:pStyle w:val="1"/>
      </w:pPr>
      <w:bookmarkStart w:id="2" w:name="_Toc181868495"/>
      <w:r>
        <w:t>Введение</w:t>
      </w:r>
      <w:bookmarkEnd w:id="2"/>
    </w:p>
    <w:p w14:paraId="0FE7F60F" w14:textId="6619D71E" w:rsidR="003D0FB4" w:rsidRDefault="00C8725C" w:rsidP="00C8725C">
      <w:pPr>
        <w:pStyle w:val="a3"/>
      </w:pPr>
      <w:r w:rsidRPr="00767129">
        <w:t xml:space="preserve">Согласно Концепции технологического развития </w:t>
      </w:r>
      <w:r w:rsidR="0006147F">
        <w:t xml:space="preserve">Российской Федерации </w:t>
      </w:r>
      <w:r w:rsidRPr="00767129">
        <w:t>на период до 2030 г.</w:t>
      </w:r>
      <w:r w:rsidR="00A842A9">
        <w:rPr>
          <w:rStyle w:val="a7"/>
          <w:color w:val="0000FF"/>
        </w:rPr>
        <w:footnoteReference w:id="1"/>
      </w:r>
      <w:r w:rsidRPr="00767129">
        <w:t xml:space="preserve">, </w:t>
      </w:r>
      <w:r w:rsidR="000E00A4" w:rsidRPr="00767129">
        <w:t xml:space="preserve">в современных условиях </w:t>
      </w:r>
      <w:r w:rsidRPr="00767129">
        <w:t xml:space="preserve">приоритетом государственной политики является достижение технологического суверенитета – наличия в стране под национальным контролем критических и сквозных технологий на основе собственных разработок. </w:t>
      </w:r>
      <w:r w:rsidR="00BA666C" w:rsidRPr="00BA666C">
        <w:rPr>
          <w:color w:val="0000FF"/>
        </w:rPr>
        <w:t>Более того, необходимо достижение технологического лидерства, чтобы не только обеспечи</w:t>
      </w:r>
      <w:r w:rsidR="00BA666C">
        <w:rPr>
          <w:color w:val="0000FF"/>
        </w:rPr>
        <w:t>ва</w:t>
      </w:r>
      <w:r w:rsidR="00BA666C" w:rsidRPr="00BA666C">
        <w:rPr>
          <w:color w:val="0000FF"/>
        </w:rPr>
        <w:t>ть самодостаточность на внутреннем рынке, но и выпускать продукцию конкурентоспособную на внешних рынках.</w:t>
      </w:r>
      <w:r w:rsidR="00BA666C">
        <w:t xml:space="preserve"> </w:t>
      </w:r>
      <w:r w:rsidRPr="00767129">
        <w:t>Требуется формирование системы технологических приоритетов и их последовательной реализации на всех стадиях научно-технологического цикла</w:t>
      </w:r>
      <w:r w:rsidR="00D27BE7">
        <w:t xml:space="preserve">, что на практике невозможно </w:t>
      </w:r>
      <w:r w:rsidR="00EB4061">
        <w:t>осуществи</w:t>
      </w:r>
      <w:r w:rsidR="00D27BE7">
        <w:t xml:space="preserve">ть без использования </w:t>
      </w:r>
      <w:r w:rsidR="00445661">
        <w:t>механизмов</w:t>
      </w:r>
      <w:r w:rsidR="00D27BE7">
        <w:t xml:space="preserve"> индикативного планирования</w:t>
      </w:r>
      <w:r w:rsidR="00445661" w:rsidRPr="00445661">
        <w:t xml:space="preserve"> </w:t>
      </w:r>
      <w:r w:rsidR="00445661">
        <w:t xml:space="preserve">и соответствующих институтов </w:t>
      </w:r>
      <w:r w:rsidR="00CB2EF7">
        <w:t xml:space="preserve">– </w:t>
      </w:r>
      <w:r w:rsidR="00445661">
        <w:t xml:space="preserve">организаций, </w:t>
      </w:r>
      <w:r w:rsidR="00CB2EF7">
        <w:t>ориентированных</w:t>
      </w:r>
      <w:r w:rsidR="00445661">
        <w:t xml:space="preserve"> </w:t>
      </w:r>
      <w:r w:rsidR="00DB634E">
        <w:t>на</w:t>
      </w:r>
      <w:r w:rsidR="00445661">
        <w:t xml:space="preserve"> </w:t>
      </w:r>
      <w:r w:rsidR="00DB634E">
        <w:t xml:space="preserve">их </w:t>
      </w:r>
      <w:r w:rsidR="00445661">
        <w:t>разработку и применение на практике</w:t>
      </w:r>
      <w:bookmarkStart w:id="3" w:name="_Hlk169357183"/>
      <w:r w:rsidR="00FA5D69">
        <w:t>.</w:t>
      </w:r>
    </w:p>
    <w:bookmarkEnd w:id="3"/>
    <w:p w14:paraId="33C6CF42" w14:textId="409CFC16" w:rsidR="00EC4636" w:rsidRPr="00EE1D6E" w:rsidRDefault="00E2197D" w:rsidP="00B11861">
      <w:pPr>
        <w:pStyle w:val="a3"/>
        <w:rPr>
          <w:szCs w:val="28"/>
        </w:rPr>
      </w:pPr>
      <w:r w:rsidRPr="00520E3B">
        <w:rPr>
          <w:szCs w:val="28"/>
        </w:rPr>
        <w:t xml:space="preserve">Современные условия </w:t>
      </w:r>
      <w:r w:rsidR="00EB4061">
        <w:rPr>
          <w:szCs w:val="28"/>
        </w:rPr>
        <w:t xml:space="preserve">развития российской экономики </w:t>
      </w:r>
      <w:r w:rsidRPr="00520E3B">
        <w:rPr>
          <w:szCs w:val="28"/>
        </w:rPr>
        <w:t xml:space="preserve">характеризуются жестким санкционным давлением, разрывом части международных связей, ускорением инновационных процессов </w:t>
      </w:r>
      <w:r w:rsidR="008840FC">
        <w:rPr>
          <w:szCs w:val="28"/>
        </w:rPr>
        <w:t xml:space="preserve">и </w:t>
      </w:r>
      <w:r w:rsidRPr="00520E3B">
        <w:rPr>
          <w:szCs w:val="28"/>
        </w:rPr>
        <w:t>технологического развития</w:t>
      </w:r>
      <w:r w:rsidR="00520E3B">
        <w:rPr>
          <w:szCs w:val="28"/>
        </w:rPr>
        <w:t xml:space="preserve"> в странах-конкурентах</w:t>
      </w:r>
      <w:r w:rsidRPr="00520E3B">
        <w:rPr>
          <w:szCs w:val="28"/>
        </w:rPr>
        <w:t xml:space="preserve">. Применительно к газовой промышленности России это проявляется в усложнении поставок газа на внешние рынки (прежде всего, трубопроводным транспортом); </w:t>
      </w:r>
      <w:r w:rsidR="00CB2EF7">
        <w:rPr>
          <w:szCs w:val="28"/>
        </w:rPr>
        <w:t xml:space="preserve">в формировании </w:t>
      </w:r>
      <w:r w:rsidRPr="00520E3B">
        <w:rPr>
          <w:szCs w:val="28"/>
        </w:rPr>
        <w:t>барьер</w:t>
      </w:r>
      <w:r w:rsidR="00CB2EF7">
        <w:rPr>
          <w:szCs w:val="28"/>
        </w:rPr>
        <w:t>ов</w:t>
      </w:r>
      <w:r w:rsidRPr="00520E3B">
        <w:rPr>
          <w:szCs w:val="28"/>
        </w:rPr>
        <w:t xml:space="preserve"> при доступе к новым технологиям и оборудованию, </w:t>
      </w:r>
      <w:r w:rsidR="008A74AA">
        <w:rPr>
          <w:szCs w:val="28"/>
        </w:rPr>
        <w:t>в том числе</w:t>
      </w:r>
      <w:r w:rsidRPr="00520E3B">
        <w:rPr>
          <w:szCs w:val="28"/>
        </w:rPr>
        <w:t xml:space="preserve"> для добычи </w:t>
      </w:r>
      <w:r w:rsidR="00EB4061">
        <w:rPr>
          <w:szCs w:val="28"/>
        </w:rPr>
        <w:t xml:space="preserve">углеводородного сырья </w:t>
      </w:r>
      <w:r w:rsidRPr="00520E3B">
        <w:rPr>
          <w:szCs w:val="28"/>
        </w:rPr>
        <w:t xml:space="preserve">из ТРИЗ и производству СПГ; </w:t>
      </w:r>
      <w:r w:rsidR="00CB2EF7">
        <w:rPr>
          <w:szCs w:val="28"/>
        </w:rPr>
        <w:t xml:space="preserve">в </w:t>
      </w:r>
      <w:r w:rsidRPr="00520E3B">
        <w:rPr>
          <w:szCs w:val="28"/>
        </w:rPr>
        <w:t>повышени</w:t>
      </w:r>
      <w:r w:rsidR="00CB2EF7">
        <w:rPr>
          <w:szCs w:val="28"/>
        </w:rPr>
        <w:t>и</w:t>
      </w:r>
      <w:r w:rsidRPr="00520E3B">
        <w:rPr>
          <w:szCs w:val="28"/>
        </w:rPr>
        <w:t xml:space="preserve"> конкуренции на внешних рынках.</w:t>
      </w:r>
      <w:r w:rsidR="00335B4B">
        <w:rPr>
          <w:szCs w:val="28"/>
        </w:rPr>
        <w:t xml:space="preserve"> </w:t>
      </w:r>
      <w:r w:rsidR="00391C1F" w:rsidRPr="00EE1D6E">
        <w:rPr>
          <w:szCs w:val="28"/>
        </w:rPr>
        <w:t>В этих условиях</w:t>
      </w:r>
      <w:r w:rsidR="0006147F" w:rsidRPr="00EE1D6E">
        <w:rPr>
          <w:szCs w:val="28"/>
        </w:rPr>
        <w:t xml:space="preserve"> необходима скоординированная концентрация усилий целого ряда компаний </w:t>
      </w:r>
      <w:r w:rsidR="00D909DB" w:rsidRPr="00EE1D6E">
        <w:rPr>
          <w:szCs w:val="28"/>
        </w:rPr>
        <w:t xml:space="preserve">и учреждений </w:t>
      </w:r>
      <w:r w:rsidR="0006147F" w:rsidRPr="00EE1D6E">
        <w:rPr>
          <w:szCs w:val="28"/>
        </w:rPr>
        <w:t>(часто из разных отраслей и сфер деятельности</w:t>
      </w:r>
      <w:r w:rsidR="006342E6" w:rsidRPr="00EE1D6E">
        <w:rPr>
          <w:szCs w:val="28"/>
        </w:rPr>
        <w:t xml:space="preserve"> – науки, вузов, производства</w:t>
      </w:r>
      <w:r w:rsidR="0006147F" w:rsidRPr="00EE1D6E">
        <w:rPr>
          <w:szCs w:val="28"/>
        </w:rPr>
        <w:t xml:space="preserve">) для достижения задач обеспечения </w:t>
      </w:r>
      <w:r w:rsidR="00D27BE7" w:rsidRPr="00EE1D6E">
        <w:rPr>
          <w:szCs w:val="28"/>
        </w:rPr>
        <w:t>технологического суверенитета</w:t>
      </w:r>
      <w:r w:rsidR="00335B4B" w:rsidRPr="00EE1D6E">
        <w:rPr>
          <w:szCs w:val="28"/>
        </w:rPr>
        <w:t xml:space="preserve"> </w:t>
      </w:r>
      <w:r w:rsidR="00335B4B" w:rsidRPr="00470897">
        <w:rPr>
          <w:color w:val="0000FF"/>
          <w:szCs w:val="28"/>
        </w:rPr>
        <w:t>в газовой отрасли</w:t>
      </w:r>
      <w:r w:rsidR="00D27BE7" w:rsidRPr="00EE1D6E">
        <w:rPr>
          <w:szCs w:val="28"/>
        </w:rPr>
        <w:t>.</w:t>
      </w:r>
      <w:r w:rsidR="00B11861" w:rsidRPr="00EE1D6E">
        <w:rPr>
          <w:szCs w:val="28"/>
        </w:rPr>
        <w:t xml:space="preserve"> </w:t>
      </w:r>
    </w:p>
    <w:p w14:paraId="60F6AD5A" w14:textId="50D110A3" w:rsidR="008D44C4" w:rsidRPr="000B3722" w:rsidRDefault="00B11861" w:rsidP="008D44C4">
      <w:pPr>
        <w:pStyle w:val="a3"/>
        <w:rPr>
          <w:color w:val="0000FF"/>
        </w:rPr>
      </w:pPr>
      <w:r w:rsidRPr="00EE1D6E">
        <w:rPr>
          <w:szCs w:val="28"/>
        </w:rPr>
        <w:t xml:space="preserve">Необходимо формирование </w:t>
      </w:r>
      <w:r w:rsidR="00942F86">
        <w:rPr>
          <w:szCs w:val="28"/>
        </w:rPr>
        <w:t xml:space="preserve">цепочек (сетей) создания </w:t>
      </w:r>
      <w:r w:rsidRPr="00EE1D6E">
        <w:rPr>
          <w:szCs w:val="28"/>
        </w:rPr>
        <w:t xml:space="preserve">добавленной стоимости, </w:t>
      </w:r>
      <w:r w:rsidRPr="002B46C9">
        <w:rPr>
          <w:szCs w:val="28"/>
        </w:rPr>
        <w:t xml:space="preserve">включающих отечественные компании в качестве </w:t>
      </w:r>
      <w:r w:rsidR="000E00A4" w:rsidRPr="002B46C9">
        <w:rPr>
          <w:szCs w:val="28"/>
        </w:rPr>
        <w:t>ключев</w:t>
      </w:r>
      <w:r w:rsidRPr="002B46C9">
        <w:rPr>
          <w:szCs w:val="28"/>
        </w:rPr>
        <w:t>ых игроков</w:t>
      </w:r>
      <w:r w:rsidR="00D236DE" w:rsidRPr="002B46C9">
        <w:rPr>
          <w:szCs w:val="28"/>
        </w:rPr>
        <w:t xml:space="preserve"> (Atienza, Lufin, Soto</w:t>
      </w:r>
      <w:r w:rsidR="003F1B06" w:rsidRPr="002B46C9">
        <w:rPr>
          <w:szCs w:val="28"/>
        </w:rPr>
        <w:t>, 2021;</w:t>
      </w:r>
      <w:r w:rsidR="00D236DE" w:rsidRPr="002B46C9">
        <w:rPr>
          <w:szCs w:val="28"/>
        </w:rPr>
        <w:t xml:space="preserve"> </w:t>
      </w:r>
      <w:r w:rsidRPr="002B46C9">
        <w:rPr>
          <w:szCs w:val="28"/>
        </w:rPr>
        <w:t>Полтерович, 2023).</w:t>
      </w:r>
      <w:r w:rsidR="00EC4636" w:rsidRPr="002B46C9">
        <w:rPr>
          <w:szCs w:val="28"/>
        </w:rPr>
        <w:t xml:space="preserve"> Формирование </w:t>
      </w:r>
      <w:r w:rsidR="00EC4636" w:rsidRPr="00EE1D6E">
        <w:rPr>
          <w:szCs w:val="28"/>
        </w:rPr>
        <w:t xml:space="preserve">таких сетей требует активного участия государства </w:t>
      </w:r>
      <w:r w:rsidR="00942F86">
        <w:rPr>
          <w:szCs w:val="28"/>
        </w:rPr>
        <w:t>с использованием</w:t>
      </w:r>
      <w:r w:rsidR="00EE1D6E" w:rsidRPr="00EE1D6E">
        <w:rPr>
          <w:szCs w:val="28"/>
        </w:rPr>
        <w:t xml:space="preserve"> </w:t>
      </w:r>
      <w:r w:rsidR="00EC4636" w:rsidRPr="00EE1D6E">
        <w:rPr>
          <w:szCs w:val="28"/>
        </w:rPr>
        <w:t>систем</w:t>
      </w:r>
      <w:r w:rsidR="00EE1D6E" w:rsidRPr="00EE1D6E">
        <w:rPr>
          <w:szCs w:val="28"/>
        </w:rPr>
        <w:t>ы</w:t>
      </w:r>
      <w:r w:rsidR="00EC4636" w:rsidRPr="00EE1D6E">
        <w:rPr>
          <w:szCs w:val="28"/>
        </w:rPr>
        <w:t xml:space="preserve"> </w:t>
      </w:r>
      <w:r w:rsidR="00EC4636" w:rsidRPr="00EE1D6E">
        <w:rPr>
          <w:szCs w:val="28"/>
        </w:rPr>
        <w:lastRenderedPageBreak/>
        <w:t>соответствующих институтов</w:t>
      </w:r>
      <w:r w:rsidR="00EE1D6E" w:rsidRPr="00EE1D6E">
        <w:rPr>
          <w:szCs w:val="28"/>
        </w:rPr>
        <w:t xml:space="preserve"> и инструментов</w:t>
      </w:r>
      <w:r w:rsidR="00EC4636" w:rsidRPr="00EE1D6E">
        <w:rPr>
          <w:szCs w:val="28"/>
        </w:rPr>
        <w:t>.</w:t>
      </w:r>
      <w:r w:rsidR="008D44C4" w:rsidRPr="00EE1D6E">
        <w:t xml:space="preserve"> </w:t>
      </w:r>
      <w:r w:rsidR="00EC4636" w:rsidRPr="00EE1D6E">
        <w:t>С</w:t>
      </w:r>
      <w:r w:rsidR="008D44C4" w:rsidRPr="00EE1D6E">
        <w:t xml:space="preserve">оздание </w:t>
      </w:r>
      <w:r w:rsidR="00EC4636" w:rsidRPr="00EE1D6E">
        <w:t>так</w:t>
      </w:r>
      <w:r w:rsidR="00EE1D6E" w:rsidRPr="00EE1D6E">
        <w:t>их</w:t>
      </w:r>
      <w:r w:rsidR="00EC4636" w:rsidRPr="00EE1D6E">
        <w:t xml:space="preserve"> </w:t>
      </w:r>
      <w:r w:rsidR="008D44C4" w:rsidRPr="00EE1D6E">
        <w:t>сет</w:t>
      </w:r>
      <w:r w:rsidR="00EE1D6E" w:rsidRPr="00EE1D6E">
        <w:t>ей</w:t>
      </w:r>
      <w:r w:rsidR="008D44C4" w:rsidRPr="00EE1D6E">
        <w:t xml:space="preserve"> </w:t>
      </w:r>
      <w:r w:rsidR="009D0019">
        <w:t xml:space="preserve">для производства </w:t>
      </w:r>
      <w:r w:rsidR="00EE1D6E" w:rsidRPr="00EE1D6E">
        <w:t>нефте</w:t>
      </w:r>
      <w:r w:rsidR="005D3DC4" w:rsidRPr="00EE1D6E">
        <w:t>газово</w:t>
      </w:r>
      <w:r w:rsidR="009D0019">
        <w:t xml:space="preserve">го </w:t>
      </w:r>
      <w:r w:rsidR="009D0019" w:rsidRPr="00723D8B">
        <w:rPr>
          <w:color w:val="0000FF"/>
        </w:rPr>
        <w:t>об</w:t>
      </w:r>
      <w:r w:rsidR="00723D8B" w:rsidRPr="00723D8B">
        <w:rPr>
          <w:color w:val="0000FF"/>
        </w:rPr>
        <w:t>о</w:t>
      </w:r>
      <w:r w:rsidR="009D0019" w:rsidRPr="00723D8B">
        <w:rPr>
          <w:color w:val="0000FF"/>
        </w:rPr>
        <w:t>р</w:t>
      </w:r>
      <w:r w:rsidR="009D0019">
        <w:t>удования</w:t>
      </w:r>
      <w:r w:rsidR="005D3DC4" w:rsidRPr="00EE1D6E">
        <w:t xml:space="preserve"> </w:t>
      </w:r>
      <w:r w:rsidR="008D44C4" w:rsidRPr="00EE1D6E">
        <w:t xml:space="preserve">требует </w:t>
      </w:r>
      <w:r w:rsidR="00EC4636" w:rsidRPr="00EE1D6E">
        <w:t>значительных инвестици</w:t>
      </w:r>
      <w:r w:rsidR="008D44C4" w:rsidRPr="00EE1D6E">
        <w:t>й</w:t>
      </w:r>
      <w:r w:rsidR="00EC4636" w:rsidRPr="00EE1D6E">
        <w:t>,</w:t>
      </w:r>
      <w:r w:rsidR="008D44C4" w:rsidRPr="00EE1D6E">
        <w:t xml:space="preserve"> координации деятельности пр</w:t>
      </w:r>
      <w:r w:rsidR="005D3DC4" w:rsidRPr="00EE1D6E">
        <w:t xml:space="preserve">едприятий из </w:t>
      </w:r>
      <w:r w:rsidR="008D44C4" w:rsidRPr="00EE1D6E">
        <w:t>разных отраслей</w:t>
      </w:r>
      <w:r w:rsidR="00745F81" w:rsidRPr="00EE1D6E">
        <w:t xml:space="preserve"> (включая металлургию, химическую промышленность, машиностроение)</w:t>
      </w:r>
      <w:r w:rsidR="008D44C4" w:rsidRPr="00EE1D6E">
        <w:t>, конструкторских</w:t>
      </w:r>
      <w:r w:rsidR="00942F86">
        <w:t>, образовательных</w:t>
      </w:r>
      <w:r w:rsidR="008D44C4" w:rsidRPr="00EE1D6E">
        <w:t xml:space="preserve"> и исследовательских организаций. Для успе</w:t>
      </w:r>
      <w:r w:rsidR="00EC4636" w:rsidRPr="00EE1D6E">
        <w:t xml:space="preserve">шной </w:t>
      </w:r>
      <w:r w:rsidR="008D44C4" w:rsidRPr="00EE1D6E">
        <w:t>координации</w:t>
      </w:r>
      <w:r w:rsidR="00EC4636" w:rsidRPr="00EE1D6E">
        <w:t xml:space="preserve"> таких производственных цепочек</w:t>
      </w:r>
      <w:r w:rsidR="008D44C4" w:rsidRPr="00EE1D6E">
        <w:t xml:space="preserve"> необходим</w:t>
      </w:r>
      <w:r w:rsidR="005D3DC4" w:rsidRPr="00EE1D6E">
        <w:t>ы</w:t>
      </w:r>
      <w:r w:rsidR="00EC4636" w:rsidRPr="00EE1D6E">
        <w:t xml:space="preserve"> институт</w:t>
      </w:r>
      <w:r w:rsidR="005D3DC4" w:rsidRPr="00EE1D6E">
        <w:t xml:space="preserve">ы </w:t>
      </w:r>
      <w:r w:rsidR="00EC4636" w:rsidRPr="00EE1D6E">
        <w:t>и механизм</w:t>
      </w:r>
      <w:r w:rsidR="005D3DC4" w:rsidRPr="00EE1D6E">
        <w:t>ы</w:t>
      </w:r>
      <w:r w:rsidR="00EC4636" w:rsidRPr="00EE1D6E">
        <w:t xml:space="preserve"> </w:t>
      </w:r>
      <w:r w:rsidR="008D44C4" w:rsidRPr="00EE1D6E">
        <w:t>индикативно</w:t>
      </w:r>
      <w:r w:rsidR="00EC4636" w:rsidRPr="00EE1D6E">
        <w:t>го</w:t>
      </w:r>
      <w:r w:rsidR="003D208E" w:rsidRPr="00EE1D6E">
        <w:t xml:space="preserve"> </w:t>
      </w:r>
      <w:r w:rsidR="008D44C4" w:rsidRPr="00290E74">
        <w:t>планировани</w:t>
      </w:r>
      <w:r w:rsidR="005D3DC4" w:rsidRPr="00290E74">
        <w:t>я</w:t>
      </w:r>
      <w:r w:rsidR="008D44C4" w:rsidRPr="00290E74">
        <w:t xml:space="preserve"> (Полтерович, 2016). П</w:t>
      </w:r>
      <w:r w:rsidR="00EC4636" w:rsidRPr="00290E74">
        <w:t>ри этом</w:t>
      </w:r>
      <w:r w:rsidR="008D44C4" w:rsidRPr="00290E74">
        <w:t xml:space="preserve"> </w:t>
      </w:r>
      <w:r w:rsidR="00EE1D6E" w:rsidRPr="00290E74">
        <w:t xml:space="preserve">в целом </w:t>
      </w:r>
      <w:r w:rsidR="008D44C4" w:rsidRPr="00290E74">
        <w:t xml:space="preserve">индикативные планы </w:t>
      </w:r>
      <w:r w:rsidR="00EB67EE" w:rsidRPr="00290E74">
        <w:t xml:space="preserve">отличает ориентация не на достижение определенных (заданных свыше) показателей, а на </w:t>
      </w:r>
      <w:r w:rsidR="000E00A4" w:rsidRPr="00290E74">
        <w:t>созд</w:t>
      </w:r>
      <w:r w:rsidR="00EB67EE" w:rsidRPr="00290E74">
        <w:t>ание и запуск процесс</w:t>
      </w:r>
      <w:r w:rsidR="000E00A4" w:rsidRPr="00290E74">
        <w:t>ов</w:t>
      </w:r>
      <w:r w:rsidR="00EE1D6E" w:rsidRPr="00290E74">
        <w:t xml:space="preserve"> </w:t>
      </w:r>
      <w:r w:rsidR="008D44C4" w:rsidRPr="00290E74">
        <w:t>формировани</w:t>
      </w:r>
      <w:r w:rsidR="00EB67EE" w:rsidRPr="00290E74">
        <w:t>я</w:t>
      </w:r>
      <w:r w:rsidR="008D44C4" w:rsidRPr="00290E74">
        <w:t xml:space="preserve"> </w:t>
      </w:r>
      <w:r w:rsidR="00EC4636" w:rsidRPr="00290E74">
        <w:t>цепочек добавленной стоимости</w:t>
      </w:r>
      <w:r w:rsidR="008D44C4" w:rsidRPr="00290E74">
        <w:t xml:space="preserve">, согласованных между собой и </w:t>
      </w:r>
      <w:r w:rsidR="005D3DC4" w:rsidRPr="00290E74">
        <w:t xml:space="preserve">периодически </w:t>
      </w:r>
      <w:r w:rsidR="008D44C4" w:rsidRPr="00290E74">
        <w:t>уточняемых в соответствии с методологией скользящего планирования</w:t>
      </w:r>
      <w:r w:rsidR="00EC4636" w:rsidRPr="00290E74">
        <w:t xml:space="preserve"> (Полтерович, 2024</w:t>
      </w:r>
      <w:r w:rsidR="00C5627F" w:rsidRPr="00290E74">
        <w:t xml:space="preserve">; </w:t>
      </w:r>
      <w:r w:rsidR="00C5627F" w:rsidRPr="000B3722">
        <w:rPr>
          <w:color w:val="0000FF"/>
        </w:rPr>
        <w:t>Сапир, 2022</w:t>
      </w:r>
      <w:r w:rsidR="00E202FA" w:rsidRPr="000B3722">
        <w:rPr>
          <w:color w:val="0000FF"/>
        </w:rPr>
        <w:t xml:space="preserve">; </w:t>
      </w:r>
      <w:r w:rsidR="00E202FA" w:rsidRPr="000B3722">
        <w:rPr>
          <w:color w:val="0000FF"/>
          <w:szCs w:val="28"/>
        </w:rPr>
        <w:t>Трюэль, Рассадина, 2017</w:t>
      </w:r>
      <w:r w:rsidR="00EC4636" w:rsidRPr="000B3722">
        <w:rPr>
          <w:color w:val="0000FF"/>
        </w:rPr>
        <w:t>)</w:t>
      </w:r>
      <w:r w:rsidR="008D44C4" w:rsidRPr="000B3722">
        <w:rPr>
          <w:color w:val="0000FF"/>
        </w:rPr>
        <w:t>.</w:t>
      </w:r>
    </w:p>
    <w:p w14:paraId="4705BF18" w14:textId="4E48C84A" w:rsidR="003B7CA7" w:rsidRPr="007A63A1" w:rsidRDefault="003B7CA7" w:rsidP="003B7CA7">
      <w:pPr>
        <w:pStyle w:val="a3"/>
        <w:rPr>
          <w:szCs w:val="28"/>
        </w:rPr>
      </w:pPr>
      <w:r w:rsidRPr="00290E74">
        <w:rPr>
          <w:rFonts w:eastAsiaTheme="minorEastAsia"/>
          <w:kern w:val="24"/>
        </w:rPr>
        <w:t xml:space="preserve">В основе успешности создания и функционирования </w:t>
      </w:r>
      <w:r w:rsidR="009D0019" w:rsidRPr="00290E74">
        <w:rPr>
          <w:rFonts w:eastAsiaTheme="minorEastAsia"/>
          <w:kern w:val="24"/>
        </w:rPr>
        <w:t>производственных связей</w:t>
      </w:r>
      <w:r w:rsidRPr="00290E74">
        <w:rPr>
          <w:rFonts w:eastAsiaTheme="minorEastAsia"/>
          <w:kern w:val="24"/>
        </w:rPr>
        <w:t xml:space="preserve"> </w:t>
      </w:r>
      <w:r w:rsidR="00C746FC" w:rsidRPr="00290E74">
        <w:rPr>
          <w:rFonts w:eastAsiaTheme="minorEastAsia"/>
          <w:kern w:val="24"/>
        </w:rPr>
        <w:t xml:space="preserve">в минерально-сырьевом секторе </w:t>
      </w:r>
      <w:r w:rsidRPr="00290E74">
        <w:rPr>
          <w:rFonts w:eastAsiaTheme="minorEastAsia"/>
          <w:kern w:val="24"/>
        </w:rPr>
        <w:t>лежит эффективная система государственного регулирования</w:t>
      </w:r>
      <w:r w:rsidR="009D0019" w:rsidRPr="00290E74">
        <w:rPr>
          <w:rFonts w:eastAsiaTheme="minorEastAsia"/>
          <w:kern w:val="24"/>
        </w:rPr>
        <w:t xml:space="preserve">, </w:t>
      </w:r>
      <w:r w:rsidR="00EB67EE" w:rsidRPr="00290E74">
        <w:rPr>
          <w:rFonts w:eastAsiaTheme="minorEastAsia"/>
          <w:kern w:val="24"/>
        </w:rPr>
        <w:t xml:space="preserve">прежде всего, в сфере недропользования в самом широком смысле </w:t>
      </w:r>
      <w:r w:rsidR="00EB67EE" w:rsidRPr="00290E74">
        <w:rPr>
          <w:rFonts w:eastAsiaTheme="minorEastAsia"/>
          <w:kern w:val="24"/>
          <w:szCs w:val="28"/>
        </w:rPr>
        <w:t>этого слова</w:t>
      </w:r>
      <w:r w:rsidR="000E00A4" w:rsidRPr="00290E74">
        <w:rPr>
          <w:rFonts w:eastAsiaTheme="minorEastAsia"/>
          <w:kern w:val="24"/>
          <w:szCs w:val="28"/>
        </w:rPr>
        <w:t xml:space="preserve"> (</w:t>
      </w:r>
      <w:r w:rsidR="000E00A4" w:rsidRPr="00290E74">
        <w:rPr>
          <w:szCs w:val="28"/>
          <w:lang w:val="en-US"/>
        </w:rPr>
        <w:t>Al</w:t>
      </w:r>
      <w:r w:rsidR="000E00A4" w:rsidRPr="00290E74">
        <w:rPr>
          <w:szCs w:val="28"/>
        </w:rPr>
        <w:t>-</w:t>
      </w:r>
      <w:r w:rsidR="000E00A4" w:rsidRPr="00290E74">
        <w:rPr>
          <w:szCs w:val="28"/>
          <w:lang w:val="en-US"/>
        </w:rPr>
        <w:t>Kasim</w:t>
      </w:r>
      <w:r w:rsidR="000E00A4" w:rsidRPr="00290E74">
        <w:rPr>
          <w:szCs w:val="28"/>
        </w:rPr>
        <w:t>, 2006</w:t>
      </w:r>
      <w:r w:rsidR="000B3722">
        <w:rPr>
          <w:szCs w:val="28"/>
        </w:rPr>
        <w:t xml:space="preserve">; </w:t>
      </w:r>
      <w:r w:rsidR="000B3722" w:rsidRPr="000B3722">
        <w:rPr>
          <w:color w:val="0000FF"/>
        </w:rPr>
        <w:t>Литвиненко</w:t>
      </w:r>
      <w:r w:rsidR="000B3722" w:rsidRPr="000B3722">
        <w:rPr>
          <w:color w:val="0000FF"/>
        </w:rPr>
        <w:t xml:space="preserve"> и др., 2022</w:t>
      </w:r>
      <w:r w:rsidR="000B3722">
        <w:rPr>
          <w:color w:val="0000FF"/>
        </w:rPr>
        <w:t xml:space="preserve">; </w:t>
      </w:r>
      <w:r w:rsidR="000B3722" w:rsidRPr="000B3722">
        <w:rPr>
          <w:color w:val="0000FF"/>
          <w:lang w:val="en-US"/>
        </w:rPr>
        <w:t>Kryukov</w:t>
      </w:r>
      <w:r w:rsidR="000B3722" w:rsidRPr="000B3722">
        <w:rPr>
          <w:color w:val="0000FF"/>
        </w:rPr>
        <w:t xml:space="preserve">, </w:t>
      </w:r>
      <w:r w:rsidR="000B3722" w:rsidRPr="000B3722">
        <w:rPr>
          <w:color w:val="0000FF"/>
          <w:lang w:val="en-US"/>
        </w:rPr>
        <w:t>Tokarev</w:t>
      </w:r>
      <w:r w:rsidR="000B3722" w:rsidRPr="000B3722">
        <w:rPr>
          <w:color w:val="0000FF"/>
        </w:rPr>
        <w:t>,</w:t>
      </w:r>
      <w:r w:rsidR="000B3722" w:rsidRPr="000B3722">
        <w:rPr>
          <w:color w:val="0000FF"/>
        </w:rPr>
        <w:t xml:space="preserve"> 2024</w:t>
      </w:r>
      <w:r w:rsidR="000E00A4" w:rsidRPr="00290E74">
        <w:rPr>
          <w:szCs w:val="28"/>
        </w:rPr>
        <w:t>)</w:t>
      </w:r>
      <w:r w:rsidRPr="00290E74">
        <w:rPr>
          <w:rFonts w:eastAsiaTheme="minorEastAsia"/>
          <w:kern w:val="24"/>
          <w:szCs w:val="28"/>
        </w:rPr>
        <w:t xml:space="preserve">. </w:t>
      </w:r>
      <w:r w:rsidR="00C746FC" w:rsidRPr="00290E74">
        <w:rPr>
          <w:rFonts w:eastAsiaTheme="minorEastAsia"/>
          <w:kern w:val="24"/>
          <w:szCs w:val="28"/>
        </w:rPr>
        <w:t>К</w:t>
      </w:r>
      <w:r w:rsidR="00DB4671" w:rsidRPr="00290E74">
        <w:rPr>
          <w:rFonts w:eastAsiaTheme="minorEastAsia"/>
          <w:kern w:val="24"/>
          <w:szCs w:val="28"/>
        </w:rPr>
        <w:t xml:space="preserve"> </w:t>
      </w:r>
      <w:r w:rsidRPr="00290E74">
        <w:rPr>
          <w:rFonts w:eastAsiaTheme="minorEastAsia"/>
          <w:kern w:val="24"/>
          <w:szCs w:val="28"/>
        </w:rPr>
        <w:t>осн</w:t>
      </w:r>
      <w:r w:rsidRPr="00290E74">
        <w:rPr>
          <w:rFonts w:eastAsiaTheme="minorEastAsia"/>
          <w:kern w:val="24"/>
        </w:rPr>
        <w:t>овны</w:t>
      </w:r>
      <w:r w:rsidRPr="007A63A1">
        <w:rPr>
          <w:rFonts w:eastAsiaTheme="minorEastAsia"/>
          <w:color w:val="000000" w:themeColor="text1"/>
          <w:kern w:val="24"/>
        </w:rPr>
        <w:t>м ее с</w:t>
      </w:r>
      <w:r w:rsidR="00DB4671" w:rsidRPr="007A63A1">
        <w:rPr>
          <w:rFonts w:eastAsiaTheme="minorEastAsia"/>
          <w:color w:val="000000" w:themeColor="text1"/>
          <w:kern w:val="24"/>
        </w:rPr>
        <w:t>оставляющим</w:t>
      </w:r>
      <w:r w:rsidRPr="007A63A1">
        <w:rPr>
          <w:rFonts w:eastAsiaTheme="minorEastAsia"/>
          <w:color w:val="000000" w:themeColor="text1"/>
          <w:kern w:val="24"/>
        </w:rPr>
        <w:t xml:space="preserve"> </w:t>
      </w:r>
      <w:r w:rsidR="00DB4671" w:rsidRPr="007A63A1">
        <w:rPr>
          <w:rFonts w:eastAsiaTheme="minorEastAsia"/>
          <w:color w:val="000000" w:themeColor="text1"/>
          <w:kern w:val="24"/>
        </w:rPr>
        <w:t>следует отнести</w:t>
      </w:r>
      <w:r w:rsidRPr="007A63A1">
        <w:rPr>
          <w:rFonts w:eastAsiaTheme="minorEastAsia"/>
          <w:color w:val="000000" w:themeColor="text1"/>
          <w:kern w:val="24"/>
        </w:rPr>
        <w:t>:</w:t>
      </w:r>
      <w:r w:rsidR="007A63A1">
        <w:rPr>
          <w:rFonts w:eastAsiaTheme="minorEastAsia"/>
          <w:color w:val="000000" w:themeColor="text1"/>
          <w:kern w:val="24"/>
        </w:rPr>
        <w:t xml:space="preserve"> </w:t>
      </w:r>
      <w:r w:rsidRPr="007A63A1">
        <w:rPr>
          <w:rFonts w:eastAsiaTheme="minorEastAsia"/>
          <w:color w:val="000000" w:themeColor="text1"/>
          <w:kern w:val="24"/>
        </w:rPr>
        <w:t>принципы доступа к участкам недр;</w:t>
      </w:r>
      <w:r w:rsidR="007A63A1">
        <w:rPr>
          <w:rFonts w:eastAsiaTheme="minorEastAsia"/>
          <w:color w:val="000000" w:themeColor="text1"/>
          <w:kern w:val="24"/>
        </w:rPr>
        <w:t xml:space="preserve"> </w:t>
      </w:r>
      <w:r w:rsidRPr="007A63A1">
        <w:rPr>
          <w:rFonts w:eastAsiaTheme="minorEastAsia"/>
          <w:color w:val="000000" w:themeColor="text1"/>
          <w:kern w:val="24"/>
        </w:rPr>
        <w:t>комплекс научно-технических условий изучения и освоения недр;</w:t>
      </w:r>
      <w:r w:rsidR="007A63A1">
        <w:rPr>
          <w:rFonts w:eastAsiaTheme="minorEastAsia"/>
          <w:color w:val="000000" w:themeColor="text1"/>
          <w:kern w:val="24"/>
        </w:rPr>
        <w:t xml:space="preserve"> </w:t>
      </w:r>
      <w:r w:rsidRPr="007A63A1">
        <w:rPr>
          <w:rFonts w:eastAsiaTheme="minorEastAsia"/>
          <w:color w:val="000000" w:themeColor="text1"/>
          <w:kern w:val="24"/>
        </w:rPr>
        <w:t>наличие межотраслевых органов государственного регулирования</w:t>
      </w:r>
      <w:r w:rsidR="009D0019">
        <w:rPr>
          <w:rFonts w:eastAsiaTheme="minorEastAsia"/>
          <w:color w:val="000000" w:themeColor="text1"/>
          <w:kern w:val="24"/>
        </w:rPr>
        <w:t xml:space="preserve">, </w:t>
      </w:r>
      <w:r w:rsidRPr="007A63A1">
        <w:rPr>
          <w:rFonts w:eastAsiaTheme="minorEastAsia"/>
          <w:color w:val="000000" w:themeColor="text1"/>
          <w:kern w:val="24"/>
        </w:rPr>
        <w:t>как правило, имеющих полномочные офисы в ресурсных регионах.</w:t>
      </w:r>
    </w:p>
    <w:p w14:paraId="4D2B8F0C" w14:textId="7C92FB6F" w:rsidR="00C8725C" w:rsidRDefault="00520E3B" w:rsidP="00C8725C">
      <w:pPr>
        <w:pStyle w:val="a3"/>
      </w:pPr>
      <w:r w:rsidRPr="00EE1D6E">
        <w:rPr>
          <w:szCs w:val="28"/>
        </w:rPr>
        <w:t>Ответ</w:t>
      </w:r>
      <w:r w:rsidR="00DB4671">
        <w:rPr>
          <w:szCs w:val="28"/>
        </w:rPr>
        <w:t>ы</w:t>
      </w:r>
      <w:r w:rsidRPr="00EE1D6E">
        <w:rPr>
          <w:szCs w:val="28"/>
        </w:rPr>
        <w:t xml:space="preserve"> на имеющиеся вызовы требу</w:t>
      </w:r>
      <w:r w:rsidR="00DB4671">
        <w:rPr>
          <w:szCs w:val="28"/>
        </w:rPr>
        <w:t>ю</w:t>
      </w:r>
      <w:r w:rsidR="0006147F" w:rsidRPr="00EE1D6E">
        <w:rPr>
          <w:szCs w:val="28"/>
        </w:rPr>
        <w:t xml:space="preserve">т как </w:t>
      </w:r>
      <w:r w:rsidR="00335B4B" w:rsidRPr="00EE1D6E">
        <w:rPr>
          <w:szCs w:val="28"/>
        </w:rPr>
        <w:t xml:space="preserve">использования </w:t>
      </w:r>
      <w:r w:rsidR="0006147F" w:rsidRPr="00EE1D6E">
        <w:rPr>
          <w:szCs w:val="28"/>
        </w:rPr>
        <w:t xml:space="preserve">уже ранее апробированных, так и </w:t>
      </w:r>
      <w:r w:rsidR="00EB4061" w:rsidRPr="00EE1D6E">
        <w:rPr>
          <w:szCs w:val="28"/>
        </w:rPr>
        <w:t>формирова</w:t>
      </w:r>
      <w:r w:rsidR="0006147F" w:rsidRPr="00EE1D6E">
        <w:rPr>
          <w:szCs w:val="28"/>
        </w:rPr>
        <w:t>ни</w:t>
      </w:r>
      <w:r w:rsidR="00335B4B" w:rsidRPr="00EE1D6E">
        <w:rPr>
          <w:szCs w:val="28"/>
        </w:rPr>
        <w:t>я</w:t>
      </w:r>
      <w:r w:rsidR="0006147F" w:rsidRPr="00EE1D6E">
        <w:rPr>
          <w:szCs w:val="28"/>
        </w:rPr>
        <w:t xml:space="preserve"> новых механизмов индикативного планирования. К </w:t>
      </w:r>
      <w:r w:rsidR="0006147F" w:rsidRPr="00EE1D6E">
        <w:t xml:space="preserve">ключевым </w:t>
      </w:r>
      <w:r w:rsidR="0006147F" w:rsidRPr="00520E3B">
        <w:t xml:space="preserve">инструментам </w:t>
      </w:r>
      <w:r w:rsidR="00C8725C" w:rsidRPr="00520E3B">
        <w:t>технологического развития, ускоряющи</w:t>
      </w:r>
      <w:r w:rsidR="0006147F" w:rsidRPr="00520E3B">
        <w:t>м</w:t>
      </w:r>
      <w:r w:rsidR="00C8725C" w:rsidRPr="00520E3B">
        <w:t xml:space="preserve"> </w:t>
      </w:r>
      <w:r w:rsidR="0006147F" w:rsidRPr="00520E3B">
        <w:t xml:space="preserve">создание и </w:t>
      </w:r>
      <w:r w:rsidR="00C8725C" w:rsidRPr="00520E3B">
        <w:t>развитие приоритетных технологий</w:t>
      </w:r>
      <w:r w:rsidR="0006147F" w:rsidRPr="00520E3B">
        <w:t>, следует отнести, например</w:t>
      </w:r>
      <w:r w:rsidR="001D603C" w:rsidRPr="00520E3B">
        <w:t xml:space="preserve">, </w:t>
      </w:r>
      <w:r w:rsidR="00391C1F" w:rsidRPr="00520E3B">
        <w:t xml:space="preserve">кластерную политику; </w:t>
      </w:r>
      <w:r w:rsidR="00C8725C" w:rsidRPr="00520E3B">
        <w:t xml:space="preserve">индустриальные мега-проекты, нацеленные на </w:t>
      </w:r>
      <w:r w:rsidR="00391C1F" w:rsidRPr="00520E3B">
        <w:t>производс</w:t>
      </w:r>
      <w:r w:rsidR="00391C1F">
        <w:t>тво</w:t>
      </w:r>
      <w:r w:rsidR="00C8725C" w:rsidRPr="00767129">
        <w:t xml:space="preserve"> высокотехнологичной продукции, созданной на основе отечественных технологий;</w:t>
      </w:r>
      <w:r w:rsidR="001D603C">
        <w:t xml:space="preserve"> </w:t>
      </w:r>
      <w:r w:rsidR="00C8725C" w:rsidRPr="00767129">
        <w:t>соглашения компаний-лидеров и Правительства РФ по разработке высокотехнологичной продукции на основе критических и сквозных технологий.</w:t>
      </w:r>
    </w:p>
    <w:p w14:paraId="29069549" w14:textId="22C195CF" w:rsidR="00944738" w:rsidRPr="009D0019" w:rsidRDefault="00EB4061" w:rsidP="00EB4061">
      <w:pPr>
        <w:pStyle w:val="a3"/>
        <w:rPr>
          <w:rFonts w:eastAsiaTheme="minorHAnsi" w:cstheme="minorBidi"/>
          <w:noProof/>
          <w:szCs w:val="22"/>
          <w:lang w:eastAsia="en-US"/>
        </w:rPr>
      </w:pPr>
      <w:r w:rsidRPr="00520E3B">
        <w:rPr>
          <w:rFonts w:eastAsiaTheme="minorHAnsi" w:cstheme="minorBidi"/>
          <w:noProof/>
          <w:szCs w:val="22"/>
          <w:lang w:eastAsia="en-US"/>
        </w:rPr>
        <w:t xml:space="preserve">Россия обладает крупнейшей в мире ресурсной базой природного газа. По состоянию на начало </w:t>
      </w:r>
      <w:r w:rsidRPr="00276658">
        <w:rPr>
          <w:rFonts w:eastAsiaTheme="minorHAnsi" w:cstheme="minorBidi"/>
          <w:noProof/>
          <w:color w:val="0000FF"/>
          <w:szCs w:val="22"/>
          <w:lang w:eastAsia="en-US"/>
        </w:rPr>
        <w:t>202</w:t>
      </w:r>
      <w:r w:rsidR="00276658" w:rsidRPr="00276658">
        <w:rPr>
          <w:rFonts w:eastAsiaTheme="minorHAnsi" w:cstheme="minorBidi"/>
          <w:noProof/>
          <w:color w:val="0000FF"/>
          <w:szCs w:val="22"/>
          <w:lang w:eastAsia="en-US"/>
        </w:rPr>
        <w:t>4</w:t>
      </w:r>
      <w:r w:rsidRPr="00276658">
        <w:rPr>
          <w:rFonts w:eastAsiaTheme="minorHAnsi" w:cstheme="minorBidi"/>
          <w:noProof/>
          <w:color w:val="0000FF"/>
          <w:szCs w:val="22"/>
          <w:lang w:eastAsia="en-US"/>
        </w:rPr>
        <w:t xml:space="preserve"> года извлекаемые запасы природного газа по категориям А+В</w:t>
      </w:r>
      <w:r w:rsidRPr="00276658">
        <w:rPr>
          <w:rFonts w:eastAsiaTheme="minorHAnsi" w:cstheme="minorBidi"/>
          <w:noProof/>
          <w:color w:val="0000FF"/>
          <w:szCs w:val="22"/>
          <w:vertAlign w:val="subscript"/>
          <w:lang w:eastAsia="en-US"/>
        </w:rPr>
        <w:t>1</w:t>
      </w:r>
      <w:r w:rsidRPr="00276658">
        <w:rPr>
          <w:rFonts w:eastAsiaTheme="minorHAnsi" w:cstheme="minorBidi"/>
          <w:noProof/>
          <w:color w:val="0000FF"/>
          <w:szCs w:val="22"/>
          <w:lang w:eastAsia="en-US"/>
        </w:rPr>
        <w:t>+С</w:t>
      </w:r>
      <w:r w:rsidRPr="00276658">
        <w:rPr>
          <w:rFonts w:eastAsiaTheme="minorHAnsi" w:cstheme="minorBidi"/>
          <w:noProof/>
          <w:color w:val="0000FF"/>
          <w:szCs w:val="22"/>
          <w:vertAlign w:val="subscript"/>
          <w:lang w:eastAsia="en-US"/>
        </w:rPr>
        <w:t>1</w:t>
      </w:r>
      <w:r w:rsidRPr="00276658">
        <w:rPr>
          <w:rFonts w:eastAsiaTheme="minorHAnsi" w:cstheme="minorBidi"/>
          <w:noProof/>
          <w:color w:val="0000FF"/>
          <w:szCs w:val="22"/>
          <w:lang w:eastAsia="en-US"/>
        </w:rPr>
        <w:t xml:space="preserve"> состав</w:t>
      </w:r>
      <w:r w:rsidR="009D0019" w:rsidRPr="00276658">
        <w:rPr>
          <w:rFonts w:eastAsiaTheme="minorHAnsi" w:cstheme="minorBidi"/>
          <w:noProof/>
          <w:color w:val="0000FF"/>
          <w:szCs w:val="22"/>
          <w:lang w:eastAsia="en-US"/>
        </w:rPr>
        <w:t>ля</w:t>
      </w:r>
      <w:r w:rsidRPr="00276658">
        <w:rPr>
          <w:rFonts w:eastAsiaTheme="minorHAnsi" w:cstheme="minorBidi"/>
          <w:noProof/>
          <w:color w:val="0000FF"/>
          <w:szCs w:val="22"/>
          <w:lang w:eastAsia="en-US"/>
        </w:rPr>
        <w:t>ли более 4</w:t>
      </w:r>
      <w:r w:rsidR="00276658" w:rsidRPr="00276658">
        <w:rPr>
          <w:rFonts w:eastAsiaTheme="minorHAnsi" w:cstheme="minorBidi"/>
          <w:noProof/>
          <w:color w:val="0000FF"/>
          <w:szCs w:val="22"/>
          <w:lang w:eastAsia="en-US"/>
        </w:rPr>
        <w:t>3</w:t>
      </w:r>
      <w:r w:rsidRPr="00276658">
        <w:rPr>
          <w:rFonts w:eastAsiaTheme="minorHAnsi" w:cstheme="minorBidi"/>
          <w:noProof/>
          <w:color w:val="0000FF"/>
          <w:szCs w:val="22"/>
          <w:lang w:eastAsia="en-US"/>
        </w:rPr>
        <w:t>,5 трлн м</w:t>
      </w:r>
      <w:r w:rsidRPr="00276658">
        <w:rPr>
          <w:rFonts w:eastAsiaTheme="minorHAnsi" w:cstheme="minorBidi"/>
          <w:noProof/>
          <w:color w:val="0000FF"/>
          <w:szCs w:val="22"/>
          <w:vertAlign w:val="superscript"/>
          <w:lang w:eastAsia="en-US"/>
        </w:rPr>
        <w:t>3</w:t>
      </w:r>
      <w:r w:rsidRPr="00276658">
        <w:rPr>
          <w:rFonts w:eastAsiaTheme="minorHAnsi" w:cstheme="minorBidi"/>
          <w:noProof/>
          <w:color w:val="0000FF"/>
          <w:szCs w:val="22"/>
          <w:lang w:eastAsia="en-US"/>
        </w:rPr>
        <w:t xml:space="preserve"> и </w:t>
      </w:r>
      <w:r w:rsidR="00276658" w:rsidRPr="00276658">
        <w:rPr>
          <w:rFonts w:eastAsiaTheme="minorHAnsi" w:cstheme="minorBidi"/>
          <w:noProof/>
          <w:color w:val="0000FF"/>
          <w:szCs w:val="22"/>
          <w:lang w:eastAsia="en-US"/>
        </w:rPr>
        <w:t>19</w:t>
      </w:r>
      <w:r w:rsidRPr="00276658">
        <w:rPr>
          <w:rFonts w:eastAsiaTheme="minorHAnsi" w:cstheme="minorBidi"/>
          <w:noProof/>
          <w:color w:val="0000FF"/>
          <w:szCs w:val="22"/>
          <w:lang w:eastAsia="en-US"/>
        </w:rPr>
        <w:t>,</w:t>
      </w:r>
      <w:r w:rsidR="00276658" w:rsidRPr="00276658">
        <w:rPr>
          <w:rFonts w:eastAsiaTheme="minorHAnsi" w:cstheme="minorBidi"/>
          <w:noProof/>
          <w:color w:val="0000FF"/>
          <w:szCs w:val="22"/>
          <w:lang w:eastAsia="en-US"/>
        </w:rPr>
        <w:t>9</w:t>
      </w:r>
      <w:r w:rsidRPr="00276658">
        <w:rPr>
          <w:rFonts w:eastAsiaTheme="minorHAnsi" w:cstheme="minorBidi"/>
          <w:noProof/>
          <w:color w:val="0000FF"/>
          <w:szCs w:val="22"/>
          <w:lang w:eastAsia="en-US"/>
        </w:rPr>
        <w:t xml:space="preserve"> трлн м</w:t>
      </w:r>
      <w:r w:rsidRPr="00276658">
        <w:rPr>
          <w:rFonts w:eastAsiaTheme="minorHAnsi" w:cstheme="minorBidi"/>
          <w:noProof/>
          <w:color w:val="0000FF"/>
          <w:szCs w:val="22"/>
          <w:vertAlign w:val="superscript"/>
          <w:lang w:eastAsia="en-US"/>
        </w:rPr>
        <w:t>3</w:t>
      </w:r>
      <w:r w:rsidRPr="00276658">
        <w:rPr>
          <w:rFonts w:eastAsiaTheme="minorHAnsi" w:cstheme="minorBidi"/>
          <w:noProof/>
          <w:color w:val="0000FF"/>
          <w:szCs w:val="22"/>
          <w:lang w:eastAsia="en-US"/>
        </w:rPr>
        <w:t xml:space="preserve"> – по категори</w:t>
      </w:r>
      <w:r w:rsidR="00276658" w:rsidRPr="00276658">
        <w:rPr>
          <w:rFonts w:eastAsiaTheme="minorHAnsi" w:cstheme="minorBidi"/>
          <w:noProof/>
          <w:color w:val="0000FF"/>
          <w:szCs w:val="22"/>
          <w:lang w:eastAsia="en-US"/>
        </w:rPr>
        <w:t>и</w:t>
      </w:r>
      <w:r w:rsidRPr="00276658">
        <w:rPr>
          <w:rFonts w:eastAsiaTheme="minorHAnsi" w:cstheme="minorBidi"/>
          <w:noProof/>
          <w:color w:val="0000FF"/>
          <w:szCs w:val="22"/>
          <w:lang w:eastAsia="en-US"/>
        </w:rPr>
        <w:t xml:space="preserve"> С</w:t>
      </w:r>
      <w:r w:rsidRPr="00276658">
        <w:rPr>
          <w:rFonts w:eastAsiaTheme="minorHAnsi" w:cstheme="minorBidi"/>
          <w:noProof/>
          <w:color w:val="0000FF"/>
          <w:szCs w:val="22"/>
          <w:vertAlign w:val="subscript"/>
          <w:lang w:eastAsia="en-US"/>
        </w:rPr>
        <w:t>2</w:t>
      </w:r>
      <w:r w:rsidRPr="00276658">
        <w:rPr>
          <w:rFonts w:eastAsiaTheme="minorHAnsi" w:cstheme="minorBidi"/>
          <w:noProof/>
          <w:color w:val="0000FF"/>
          <w:szCs w:val="22"/>
          <w:lang w:eastAsia="en-US"/>
        </w:rPr>
        <w:t xml:space="preserve"> </w:t>
      </w:r>
      <w:r w:rsidR="0055523E" w:rsidRPr="00276658">
        <w:rPr>
          <w:rFonts w:eastAsiaTheme="minorHAnsi" w:cstheme="minorBidi"/>
          <w:noProof/>
          <w:color w:val="0000FF"/>
          <w:szCs w:val="22"/>
          <w:lang w:eastAsia="en-US"/>
        </w:rPr>
        <w:t>(</w:t>
      </w:r>
      <w:r w:rsidR="0059169C" w:rsidRPr="00276658">
        <w:rPr>
          <w:color w:val="0000FF"/>
        </w:rPr>
        <w:t>Государственный доклад</w:t>
      </w:r>
      <w:r w:rsidRPr="00276658">
        <w:rPr>
          <w:color w:val="0000FF"/>
        </w:rPr>
        <w:t>, 202</w:t>
      </w:r>
      <w:r w:rsidR="00276658">
        <w:rPr>
          <w:color w:val="0000FF"/>
        </w:rPr>
        <w:t>4</w:t>
      </w:r>
      <w:r w:rsidR="0055523E" w:rsidRPr="00276658">
        <w:rPr>
          <w:color w:val="0000FF"/>
        </w:rPr>
        <w:t>)</w:t>
      </w:r>
      <w:r w:rsidRPr="00276658">
        <w:rPr>
          <w:rFonts w:eastAsiaTheme="minorHAnsi" w:cstheme="minorBidi"/>
          <w:noProof/>
          <w:color w:val="0000FF"/>
          <w:szCs w:val="22"/>
          <w:lang w:eastAsia="en-US"/>
        </w:rPr>
        <w:t xml:space="preserve">. </w:t>
      </w:r>
      <w:r w:rsidR="00942F86" w:rsidRPr="00290E74">
        <w:rPr>
          <w:rFonts w:eastAsiaTheme="minorHAnsi" w:cstheme="minorBidi"/>
          <w:noProof/>
          <w:szCs w:val="22"/>
          <w:lang w:eastAsia="en-US"/>
        </w:rPr>
        <w:t xml:space="preserve">При </w:t>
      </w:r>
      <w:r w:rsidR="00942F86">
        <w:rPr>
          <w:rFonts w:eastAsiaTheme="minorHAnsi" w:cstheme="minorBidi"/>
          <w:noProof/>
          <w:szCs w:val="22"/>
          <w:lang w:eastAsia="en-US"/>
        </w:rPr>
        <w:t xml:space="preserve">этом значительная часть запасов газа относится к трудноизвлекаемым, а его поставки на рынок (прежде всего, трубопроводным транспортом) в современных условиях связаны с </w:t>
      </w:r>
      <w:r w:rsidR="00942F86" w:rsidRPr="009D0019">
        <w:rPr>
          <w:rFonts w:eastAsiaTheme="minorHAnsi" w:cstheme="minorBidi"/>
          <w:noProof/>
          <w:szCs w:val="22"/>
          <w:lang w:eastAsia="en-US"/>
        </w:rPr>
        <w:t xml:space="preserve">преодолением серьезных препятствий. </w:t>
      </w:r>
    </w:p>
    <w:p w14:paraId="634A4DAE" w14:textId="6E725E68" w:rsidR="00EB4061" w:rsidRDefault="00944738" w:rsidP="00EB4061">
      <w:pPr>
        <w:pStyle w:val="a3"/>
      </w:pPr>
      <w:r w:rsidRPr="009D0019">
        <w:rPr>
          <w:rFonts w:eastAsiaTheme="minorHAnsi" w:cstheme="minorBidi"/>
          <w:noProof/>
          <w:szCs w:val="22"/>
          <w:lang w:eastAsia="en-US"/>
        </w:rPr>
        <w:t>Среди основных причин отнесения ресурсов газа к ТРИЗ, как правило, отмечаются высокие издержки. Причиной повышенных издержек в данном случае являются не только более сложные геологические условия и возможности применения ранее успешно зарекомендовавших себя технологий, но также не отвечающие изменившимся условиям формы координации участников процессов освоения</w:t>
      </w:r>
      <w:r w:rsidR="00425690" w:rsidRPr="009D0019">
        <w:rPr>
          <w:rFonts w:eastAsiaTheme="minorHAnsi" w:cstheme="minorBidi"/>
          <w:noProof/>
          <w:szCs w:val="22"/>
          <w:lang w:eastAsia="en-US"/>
        </w:rPr>
        <w:t xml:space="preserve"> и</w:t>
      </w:r>
      <w:r w:rsidRPr="009D0019">
        <w:rPr>
          <w:rFonts w:eastAsiaTheme="minorHAnsi" w:cstheme="minorBidi"/>
          <w:noProof/>
          <w:szCs w:val="22"/>
          <w:lang w:eastAsia="en-US"/>
        </w:rPr>
        <w:t xml:space="preserve"> добычи. </w:t>
      </w:r>
      <w:r w:rsidR="00425690" w:rsidRPr="009D0019">
        <w:rPr>
          <w:rFonts w:eastAsiaTheme="minorHAnsi" w:cstheme="minorBidi"/>
          <w:noProof/>
          <w:szCs w:val="22"/>
          <w:lang w:eastAsia="en-US"/>
        </w:rPr>
        <w:t>О</w:t>
      </w:r>
      <w:r w:rsidRPr="009D0019">
        <w:rPr>
          <w:rFonts w:eastAsiaTheme="minorHAnsi" w:cstheme="minorBidi"/>
          <w:noProof/>
          <w:szCs w:val="22"/>
          <w:lang w:eastAsia="en-US"/>
        </w:rPr>
        <w:t xml:space="preserve">дним из ключевых приоритетов </w:t>
      </w:r>
      <w:r w:rsidR="00425690" w:rsidRPr="009D0019">
        <w:rPr>
          <w:rFonts w:eastAsiaTheme="minorHAnsi" w:cstheme="minorBidi"/>
          <w:noProof/>
          <w:szCs w:val="22"/>
          <w:lang w:eastAsia="en-US"/>
        </w:rPr>
        <w:t>должно</w:t>
      </w:r>
      <w:r w:rsidRPr="009D0019">
        <w:rPr>
          <w:rFonts w:eastAsiaTheme="minorHAnsi" w:cstheme="minorBidi"/>
          <w:noProof/>
          <w:szCs w:val="22"/>
          <w:lang w:eastAsia="en-US"/>
        </w:rPr>
        <w:t xml:space="preserve"> </w:t>
      </w:r>
      <w:r w:rsidRPr="009D0019">
        <w:rPr>
          <w:rFonts w:eastAsiaTheme="minorHAnsi" w:cstheme="minorBidi"/>
          <w:noProof/>
          <w:szCs w:val="22"/>
          <w:lang w:eastAsia="en-US"/>
        </w:rPr>
        <w:lastRenderedPageBreak/>
        <w:t>являться р</w:t>
      </w:r>
      <w:r w:rsidR="00425690" w:rsidRPr="009D0019">
        <w:rPr>
          <w:rFonts w:eastAsiaTheme="minorHAnsi" w:cstheme="minorBidi"/>
          <w:noProof/>
          <w:szCs w:val="22"/>
          <w:lang w:eastAsia="en-US"/>
        </w:rPr>
        <w:t xml:space="preserve">азвитие </w:t>
      </w:r>
      <w:r w:rsidRPr="009D0019">
        <w:rPr>
          <w:rFonts w:eastAsiaTheme="minorHAnsi" w:cstheme="minorBidi"/>
          <w:noProof/>
          <w:szCs w:val="22"/>
          <w:lang w:eastAsia="en-US"/>
        </w:rPr>
        <w:t xml:space="preserve">процедур </w:t>
      </w:r>
      <w:r w:rsidR="00425690" w:rsidRPr="009D0019">
        <w:rPr>
          <w:rFonts w:eastAsiaTheme="minorHAnsi" w:cstheme="minorBidi"/>
          <w:noProof/>
          <w:szCs w:val="22"/>
          <w:lang w:eastAsia="en-US"/>
        </w:rPr>
        <w:t xml:space="preserve">координации </w:t>
      </w:r>
      <w:r w:rsidRPr="009D0019">
        <w:rPr>
          <w:rFonts w:eastAsiaTheme="minorHAnsi" w:cstheme="minorBidi"/>
          <w:noProof/>
          <w:szCs w:val="22"/>
          <w:lang w:eastAsia="en-US"/>
        </w:rPr>
        <w:t xml:space="preserve">при производстве газа из залежей, относимых к ТРИЗ, и поставляемого на рынок в виде сжиженного природного газа. </w:t>
      </w:r>
      <w:r w:rsidR="00AD043B" w:rsidRPr="009D0019">
        <w:rPr>
          <w:rFonts w:eastAsiaTheme="minorHAnsi" w:cstheme="minorBidi"/>
          <w:noProof/>
          <w:szCs w:val="22"/>
          <w:lang w:eastAsia="en-US"/>
        </w:rPr>
        <w:t>Тако</w:t>
      </w:r>
      <w:r w:rsidRPr="009D0019">
        <w:rPr>
          <w:rFonts w:eastAsiaTheme="minorHAnsi" w:cstheme="minorBidi"/>
          <w:noProof/>
          <w:szCs w:val="22"/>
          <w:lang w:eastAsia="en-US"/>
        </w:rPr>
        <w:t>й газ, который предполагает применение как новых технологий, так и новых форм координации процесс</w:t>
      </w:r>
      <w:r w:rsidR="00425690" w:rsidRPr="009D0019">
        <w:rPr>
          <w:rFonts w:eastAsiaTheme="minorHAnsi" w:cstheme="minorBidi"/>
          <w:noProof/>
          <w:szCs w:val="22"/>
          <w:lang w:eastAsia="en-US"/>
        </w:rPr>
        <w:t>ов</w:t>
      </w:r>
      <w:r w:rsidRPr="009D0019">
        <w:rPr>
          <w:rFonts w:eastAsiaTheme="minorHAnsi" w:cstheme="minorBidi"/>
          <w:noProof/>
          <w:szCs w:val="22"/>
          <w:lang w:eastAsia="en-US"/>
        </w:rPr>
        <w:t xml:space="preserve"> его освоения</w:t>
      </w:r>
      <w:r w:rsidR="00425690" w:rsidRPr="009D0019">
        <w:rPr>
          <w:rFonts w:eastAsiaTheme="minorHAnsi" w:cstheme="minorBidi"/>
          <w:noProof/>
          <w:szCs w:val="22"/>
          <w:lang w:eastAsia="en-US"/>
        </w:rPr>
        <w:t xml:space="preserve">, </w:t>
      </w:r>
      <w:r w:rsidRPr="009D0019">
        <w:rPr>
          <w:rFonts w:eastAsiaTheme="minorHAnsi" w:cstheme="minorBidi"/>
          <w:noProof/>
          <w:szCs w:val="22"/>
          <w:lang w:eastAsia="en-US"/>
        </w:rPr>
        <w:t>добычи</w:t>
      </w:r>
      <w:r w:rsidR="00425690" w:rsidRPr="009D0019">
        <w:rPr>
          <w:rFonts w:eastAsiaTheme="minorHAnsi" w:cstheme="minorBidi"/>
          <w:noProof/>
          <w:szCs w:val="22"/>
          <w:lang w:eastAsia="en-US"/>
        </w:rPr>
        <w:t xml:space="preserve"> и производства</w:t>
      </w:r>
      <w:r w:rsidRPr="009D0019">
        <w:rPr>
          <w:rFonts w:eastAsiaTheme="minorHAnsi" w:cstheme="minorBidi"/>
          <w:noProof/>
          <w:szCs w:val="22"/>
          <w:lang w:eastAsia="en-US"/>
        </w:rPr>
        <w:t xml:space="preserve"> определен авторами, как высокотехнологичный.</w:t>
      </w:r>
      <w:r w:rsidR="00AD043B">
        <w:rPr>
          <w:rFonts w:eastAsiaTheme="minorHAnsi" w:cstheme="minorBidi"/>
          <w:noProof/>
          <w:szCs w:val="22"/>
          <w:lang w:eastAsia="en-US"/>
        </w:rPr>
        <w:t xml:space="preserve"> В</w:t>
      </w:r>
      <w:r w:rsidR="00EB4061">
        <w:t xml:space="preserve"> настоящее время д</w:t>
      </w:r>
      <w:r w:rsidR="00EB4061" w:rsidRPr="00767129">
        <w:t xml:space="preserve">ля России одним из ключевых </w:t>
      </w:r>
      <w:r w:rsidR="00EB4061">
        <w:t xml:space="preserve">отраслевых </w:t>
      </w:r>
      <w:r w:rsidR="00EB4061" w:rsidRPr="00767129">
        <w:t>приоритетов должн</w:t>
      </w:r>
      <w:r w:rsidR="00EB4061">
        <w:t>о</w:t>
      </w:r>
      <w:r w:rsidR="00EB4061" w:rsidRPr="00767129">
        <w:t xml:space="preserve"> стать производство </w:t>
      </w:r>
      <w:r w:rsidR="00EB4061">
        <w:t>высокотехнологичного газа</w:t>
      </w:r>
      <w:r w:rsidR="00EB4061" w:rsidRPr="00767129">
        <w:t xml:space="preserve"> и соответствующее </w:t>
      </w:r>
      <w:r w:rsidR="00EB4061">
        <w:t>научно-</w:t>
      </w:r>
      <w:r w:rsidR="00EB4061" w:rsidRPr="00767129">
        <w:t>техническое обеспечение этих процессов.</w:t>
      </w:r>
      <w:r w:rsidR="008929FC">
        <w:t xml:space="preserve"> </w:t>
      </w:r>
      <w:r w:rsidR="008929FC" w:rsidRPr="008929FC">
        <w:rPr>
          <w:color w:val="0000FF"/>
        </w:rPr>
        <w:t xml:space="preserve">Следует особо подчеркнуть, что высокотехнологичный газ – это динамично изменяющееся по своему содержанию понятие вслед за постоянным ухудшением природных условий вводимых в хозяйственный оборот новых месторождений и усложнения требуемых для их освоения технологий – либо совершенствования существующих (эволюционный </w:t>
      </w:r>
      <w:r w:rsidR="00290E74">
        <w:rPr>
          <w:color w:val="0000FF"/>
        </w:rPr>
        <w:t xml:space="preserve">научно-технический прогресс </w:t>
      </w:r>
      <w:r w:rsidR="00290E74" w:rsidRPr="008929FC">
        <w:rPr>
          <w:color w:val="0000FF"/>
        </w:rPr>
        <w:t>–</w:t>
      </w:r>
      <w:r w:rsidR="00290E74">
        <w:rPr>
          <w:color w:val="0000FF"/>
        </w:rPr>
        <w:t xml:space="preserve"> </w:t>
      </w:r>
      <w:r w:rsidR="008929FC" w:rsidRPr="008929FC">
        <w:rPr>
          <w:color w:val="0000FF"/>
        </w:rPr>
        <w:t>НТП), либо создания принципиально новых (революционный НТП)</w:t>
      </w:r>
      <w:r w:rsidR="008929FC">
        <w:rPr>
          <w:color w:val="0000FF"/>
        </w:rPr>
        <w:t xml:space="preserve"> </w:t>
      </w:r>
      <w:r w:rsidR="008929FC" w:rsidRPr="000B3722">
        <w:rPr>
          <w:color w:val="0000FF"/>
        </w:rPr>
        <w:t xml:space="preserve">(Конопляник, </w:t>
      </w:r>
      <w:r w:rsidR="007A09F3" w:rsidRPr="000B3722">
        <w:rPr>
          <w:color w:val="0000FF"/>
        </w:rPr>
        <w:t>2019</w:t>
      </w:r>
      <w:r w:rsidR="008929FC" w:rsidRPr="000B3722">
        <w:rPr>
          <w:color w:val="0000FF"/>
        </w:rPr>
        <w:t>).</w:t>
      </w:r>
    </w:p>
    <w:p w14:paraId="04A64DA4" w14:textId="68A0FF29" w:rsidR="00391C1F" w:rsidRPr="00391C1F" w:rsidRDefault="0045170C" w:rsidP="00E2197D">
      <w:pPr>
        <w:pStyle w:val="a3"/>
        <w:rPr>
          <w:rFonts w:eastAsiaTheme="minorHAnsi" w:cstheme="minorBidi"/>
          <w:noProof/>
          <w:szCs w:val="22"/>
          <w:lang w:eastAsia="en-US"/>
        </w:rPr>
      </w:pPr>
      <w:r w:rsidRPr="0045170C">
        <w:rPr>
          <w:color w:val="0000FF"/>
        </w:rPr>
        <w:t>П</w:t>
      </w:r>
      <w:r w:rsidR="00C8725C" w:rsidRPr="0045170C">
        <w:rPr>
          <w:color w:val="0000FF"/>
        </w:rPr>
        <w:t>роизводств</w:t>
      </w:r>
      <w:r w:rsidRPr="0045170C">
        <w:rPr>
          <w:color w:val="0000FF"/>
        </w:rPr>
        <w:t>о</w:t>
      </w:r>
      <w:r w:rsidR="00C8725C" w:rsidRPr="0045170C">
        <w:rPr>
          <w:color w:val="0000FF"/>
        </w:rPr>
        <w:t xml:space="preserve"> ВТ-газ</w:t>
      </w:r>
      <w:r w:rsidR="00C8725C" w:rsidRPr="00C9405E">
        <w:t xml:space="preserve">а на основе отечественного оборудования </w:t>
      </w:r>
      <w:r w:rsidR="00D06901" w:rsidRPr="00C9405E">
        <w:t xml:space="preserve">может </w:t>
      </w:r>
      <w:r w:rsidR="00C8725C" w:rsidRPr="00C9405E">
        <w:t xml:space="preserve">стать одним из важнейших механизмов </w:t>
      </w:r>
      <w:r w:rsidR="00C8725C" w:rsidRPr="00FD58AC">
        <w:rPr>
          <w:color w:val="0000FF"/>
        </w:rPr>
        <w:t xml:space="preserve">технологического развития и достижения суверенитета в этой сфере. </w:t>
      </w:r>
      <w:r w:rsidR="00E2197D" w:rsidRPr="00FD58AC">
        <w:rPr>
          <w:rFonts w:eastAsiaTheme="minorHAnsi" w:cstheme="minorBidi"/>
          <w:noProof/>
          <w:color w:val="0000FF"/>
          <w:szCs w:val="22"/>
          <w:lang w:eastAsia="en-US"/>
        </w:rPr>
        <w:t xml:space="preserve">При этом новые проекты </w:t>
      </w:r>
      <w:r w:rsidR="00E2197D" w:rsidRPr="00391C1F">
        <w:rPr>
          <w:rFonts w:eastAsiaTheme="minorHAnsi" w:cstheme="minorBidi"/>
          <w:noProof/>
          <w:szCs w:val="22"/>
          <w:lang w:eastAsia="en-US"/>
        </w:rPr>
        <w:t xml:space="preserve">по производству высокотехнологичного газа могут успешно реализоваться только при снятии ряда ограничений. Следует особо отметить две группы проблем: </w:t>
      </w:r>
    </w:p>
    <w:p w14:paraId="1B70AC54" w14:textId="28EA2FA0" w:rsidR="00391C1F" w:rsidRPr="00290E74" w:rsidRDefault="00335B4B" w:rsidP="00E2197D">
      <w:pPr>
        <w:pStyle w:val="a3"/>
        <w:rPr>
          <w:rFonts w:eastAsiaTheme="minorHAnsi" w:cstheme="minorBidi"/>
          <w:noProof/>
          <w:szCs w:val="22"/>
          <w:lang w:eastAsia="en-US"/>
        </w:rPr>
      </w:pPr>
      <w:r>
        <w:rPr>
          <w:rFonts w:eastAsiaTheme="minorHAnsi" w:cstheme="minorBidi"/>
          <w:noProof/>
          <w:szCs w:val="22"/>
          <w:lang w:eastAsia="en-US"/>
        </w:rPr>
        <w:t>–</w:t>
      </w:r>
      <w:r w:rsidR="00E2197D" w:rsidRPr="00391C1F">
        <w:rPr>
          <w:rFonts w:eastAsiaTheme="minorHAnsi" w:cstheme="minorBidi"/>
          <w:noProof/>
          <w:szCs w:val="22"/>
          <w:lang w:eastAsia="en-US"/>
        </w:rPr>
        <w:t xml:space="preserve"> технологические проблемы, решение которых требует развития </w:t>
      </w:r>
      <w:r w:rsidR="004B0568">
        <w:rPr>
          <w:rFonts w:eastAsiaTheme="minorHAnsi" w:cstheme="minorBidi"/>
          <w:noProof/>
          <w:szCs w:val="22"/>
          <w:lang w:eastAsia="en-US"/>
        </w:rPr>
        <w:t xml:space="preserve">как новых технологий, </w:t>
      </w:r>
      <w:r w:rsidR="004B0568" w:rsidRPr="00290E74">
        <w:rPr>
          <w:rFonts w:eastAsiaTheme="minorHAnsi" w:cstheme="minorBidi"/>
          <w:noProof/>
          <w:szCs w:val="22"/>
          <w:lang w:eastAsia="en-US"/>
        </w:rPr>
        <w:t xml:space="preserve">так и </w:t>
      </w:r>
      <w:r w:rsidR="00E2197D" w:rsidRPr="00290E74">
        <w:rPr>
          <w:rFonts w:eastAsiaTheme="minorHAnsi" w:cstheme="minorBidi"/>
          <w:noProof/>
          <w:szCs w:val="22"/>
          <w:lang w:eastAsia="en-US"/>
        </w:rPr>
        <w:t>специализированных поставщиков оборудования, материалов, услуг</w:t>
      </w:r>
      <w:r w:rsidR="003B7CA7" w:rsidRPr="00290E74">
        <w:rPr>
          <w:rFonts w:eastAsiaTheme="minorHAnsi" w:cstheme="minorBidi"/>
          <w:noProof/>
          <w:szCs w:val="22"/>
          <w:lang w:eastAsia="en-US"/>
        </w:rPr>
        <w:t xml:space="preserve"> </w:t>
      </w:r>
      <w:r w:rsidR="001F08C5" w:rsidRPr="00290E74">
        <w:rPr>
          <w:rFonts w:eastAsiaTheme="minorHAnsi" w:cstheme="minorBidi"/>
          <w:noProof/>
          <w:szCs w:val="22"/>
          <w:lang w:eastAsia="en-US"/>
        </w:rPr>
        <w:t xml:space="preserve">– нефтегазового сервиса и машиностроения </w:t>
      </w:r>
      <w:r w:rsidR="003B7CA7" w:rsidRPr="00290E74">
        <w:rPr>
          <w:rFonts w:eastAsiaTheme="minorHAnsi" w:cstheme="minorBidi"/>
          <w:noProof/>
          <w:szCs w:val="22"/>
          <w:lang w:eastAsia="en-US"/>
        </w:rPr>
        <w:t xml:space="preserve">при </w:t>
      </w:r>
      <w:r w:rsidR="00641A2F" w:rsidRPr="00290E74">
        <w:rPr>
          <w:rFonts w:eastAsiaTheme="minorHAnsi" w:cstheme="minorBidi"/>
          <w:noProof/>
          <w:szCs w:val="22"/>
          <w:lang w:eastAsia="en-US"/>
        </w:rPr>
        <w:t>и</w:t>
      </w:r>
      <w:r w:rsidRPr="00290E74">
        <w:rPr>
          <w:rFonts w:eastAsiaTheme="minorHAnsi" w:cstheme="minorBidi"/>
          <w:noProof/>
          <w:szCs w:val="22"/>
          <w:lang w:eastAsia="en-US"/>
        </w:rPr>
        <w:t>х</w:t>
      </w:r>
      <w:r w:rsidR="00641A2F" w:rsidRPr="00290E74">
        <w:rPr>
          <w:rFonts w:eastAsiaTheme="minorHAnsi" w:cstheme="minorBidi"/>
          <w:noProof/>
          <w:szCs w:val="22"/>
          <w:lang w:eastAsia="en-US"/>
        </w:rPr>
        <w:t xml:space="preserve"> </w:t>
      </w:r>
      <w:r w:rsidR="003B7CA7" w:rsidRPr="00290E74">
        <w:rPr>
          <w:rFonts w:eastAsiaTheme="minorHAnsi" w:cstheme="minorBidi"/>
          <w:noProof/>
          <w:szCs w:val="22"/>
          <w:lang w:eastAsia="en-US"/>
        </w:rPr>
        <w:t>тесной кооперации между собой</w:t>
      </w:r>
      <w:r w:rsidR="00FA086B" w:rsidRPr="00290E74">
        <w:rPr>
          <w:rFonts w:eastAsiaTheme="minorHAnsi" w:cstheme="minorBidi"/>
          <w:noProof/>
          <w:szCs w:val="22"/>
          <w:lang w:eastAsia="en-US"/>
        </w:rPr>
        <w:t xml:space="preserve"> (Kryukov, Tokarev, 2024)</w:t>
      </w:r>
      <w:r w:rsidR="00E2197D" w:rsidRPr="00290E74">
        <w:rPr>
          <w:rFonts w:eastAsiaTheme="minorHAnsi" w:cstheme="minorBidi"/>
          <w:noProof/>
          <w:szCs w:val="22"/>
          <w:lang w:eastAsia="en-US"/>
        </w:rPr>
        <w:t xml:space="preserve">; </w:t>
      </w:r>
    </w:p>
    <w:p w14:paraId="5628E3F8" w14:textId="02662EEF" w:rsidR="00E2197D" w:rsidRDefault="00335B4B" w:rsidP="00E2197D">
      <w:pPr>
        <w:pStyle w:val="a3"/>
        <w:rPr>
          <w:rFonts w:eastAsiaTheme="minorHAnsi" w:cstheme="minorBidi"/>
          <w:noProof/>
          <w:szCs w:val="22"/>
          <w:lang w:eastAsia="en-US"/>
        </w:rPr>
      </w:pPr>
      <w:r w:rsidRPr="00290E74">
        <w:rPr>
          <w:rFonts w:eastAsiaTheme="minorHAnsi" w:cstheme="minorBidi"/>
          <w:noProof/>
          <w:szCs w:val="22"/>
          <w:lang w:eastAsia="en-US"/>
        </w:rPr>
        <w:t>–</w:t>
      </w:r>
      <w:r w:rsidR="00E2197D" w:rsidRPr="00290E74">
        <w:rPr>
          <w:rFonts w:eastAsiaTheme="minorHAnsi" w:cstheme="minorBidi"/>
          <w:noProof/>
          <w:szCs w:val="22"/>
          <w:lang w:eastAsia="en-US"/>
        </w:rPr>
        <w:t xml:space="preserve"> </w:t>
      </w:r>
      <w:r w:rsidR="004B0568" w:rsidRPr="00290E74">
        <w:rPr>
          <w:rFonts w:eastAsiaTheme="minorHAnsi" w:cstheme="minorBidi"/>
          <w:noProof/>
          <w:szCs w:val="22"/>
          <w:lang w:eastAsia="en-US"/>
        </w:rPr>
        <w:t xml:space="preserve">неравномерно распределенный вдоль </w:t>
      </w:r>
      <w:r w:rsidR="004B0568">
        <w:rPr>
          <w:rFonts w:eastAsiaTheme="minorHAnsi" w:cstheme="minorBidi"/>
          <w:noProof/>
          <w:szCs w:val="22"/>
          <w:lang w:eastAsia="en-US"/>
        </w:rPr>
        <w:t>цепоч</w:t>
      </w:r>
      <w:r w:rsidR="009A1AA6">
        <w:rPr>
          <w:rFonts w:eastAsiaTheme="minorHAnsi" w:cstheme="minorBidi"/>
          <w:noProof/>
          <w:szCs w:val="22"/>
          <w:lang w:eastAsia="en-US"/>
        </w:rPr>
        <w:t>е</w:t>
      </w:r>
      <w:r w:rsidR="004B0568">
        <w:rPr>
          <w:rFonts w:eastAsiaTheme="minorHAnsi" w:cstheme="minorBidi"/>
          <w:noProof/>
          <w:szCs w:val="22"/>
          <w:lang w:eastAsia="en-US"/>
        </w:rPr>
        <w:t>к технол</w:t>
      </w:r>
      <w:r w:rsidR="009A1AA6">
        <w:rPr>
          <w:rFonts w:eastAsiaTheme="minorHAnsi" w:cstheme="minorBidi"/>
          <w:noProof/>
          <w:szCs w:val="22"/>
          <w:lang w:eastAsia="en-US"/>
        </w:rPr>
        <w:t>о</w:t>
      </w:r>
      <w:r w:rsidR="004B0568">
        <w:rPr>
          <w:rFonts w:eastAsiaTheme="minorHAnsi" w:cstheme="minorBidi"/>
          <w:noProof/>
          <w:szCs w:val="22"/>
          <w:lang w:eastAsia="en-US"/>
        </w:rPr>
        <w:t xml:space="preserve">гических взаимосвязей </w:t>
      </w:r>
      <w:r w:rsidR="00E2197D" w:rsidRPr="00391C1F">
        <w:rPr>
          <w:rFonts w:eastAsiaTheme="minorHAnsi" w:cstheme="minorBidi"/>
          <w:noProof/>
          <w:szCs w:val="22"/>
          <w:lang w:eastAsia="en-US"/>
        </w:rPr>
        <w:t xml:space="preserve">уровень издержек, который вызывает необходимость </w:t>
      </w:r>
      <w:r w:rsidR="00590548">
        <w:rPr>
          <w:rFonts w:eastAsiaTheme="minorHAnsi" w:cstheme="minorBidi"/>
          <w:noProof/>
          <w:szCs w:val="22"/>
          <w:lang w:eastAsia="en-US"/>
        </w:rPr>
        <w:t xml:space="preserve">разработки и </w:t>
      </w:r>
      <w:r w:rsidR="00E2197D" w:rsidRPr="00391C1F">
        <w:rPr>
          <w:rFonts w:eastAsiaTheme="minorHAnsi" w:cstheme="minorBidi"/>
          <w:noProof/>
          <w:szCs w:val="22"/>
          <w:lang w:eastAsia="en-US"/>
        </w:rPr>
        <w:t xml:space="preserve">применения </w:t>
      </w:r>
      <w:r w:rsidR="004B0568">
        <w:rPr>
          <w:rFonts w:eastAsiaTheme="minorHAnsi" w:cstheme="minorBidi"/>
          <w:noProof/>
          <w:szCs w:val="22"/>
          <w:lang w:eastAsia="en-US"/>
        </w:rPr>
        <w:t xml:space="preserve">гибких </w:t>
      </w:r>
      <w:r w:rsidR="008840FC" w:rsidRPr="008840FC">
        <w:rPr>
          <w:rFonts w:eastAsiaTheme="minorHAnsi" w:cstheme="minorBidi"/>
          <w:noProof/>
          <w:szCs w:val="22"/>
          <w:lang w:eastAsia="en-US"/>
        </w:rPr>
        <w:t>ме</w:t>
      </w:r>
      <w:r w:rsidR="009A1AA6">
        <w:rPr>
          <w:rFonts w:eastAsiaTheme="minorHAnsi" w:cstheme="minorBidi"/>
          <w:noProof/>
          <w:szCs w:val="22"/>
          <w:lang w:eastAsia="en-US"/>
        </w:rPr>
        <w:t>ханизмов</w:t>
      </w:r>
      <w:r w:rsidR="008840FC" w:rsidRPr="008840FC">
        <w:rPr>
          <w:rFonts w:eastAsiaTheme="minorHAnsi" w:cstheme="minorBidi"/>
          <w:noProof/>
          <w:szCs w:val="22"/>
          <w:lang w:eastAsia="en-US"/>
        </w:rPr>
        <w:t xml:space="preserve"> государственно</w:t>
      </w:r>
      <w:r w:rsidR="004B0568">
        <w:rPr>
          <w:rFonts w:eastAsiaTheme="minorHAnsi" w:cstheme="minorBidi"/>
          <w:noProof/>
          <w:szCs w:val="22"/>
          <w:lang w:eastAsia="en-US"/>
        </w:rPr>
        <w:t xml:space="preserve">го регулирования (включая, в том числе на определенных этапах и на определенное время меры </w:t>
      </w:r>
      <w:r w:rsidR="008840FC" w:rsidRPr="008840FC">
        <w:rPr>
          <w:rFonts w:eastAsiaTheme="minorHAnsi" w:cstheme="minorBidi"/>
          <w:noProof/>
          <w:szCs w:val="22"/>
          <w:lang w:eastAsia="en-US"/>
        </w:rPr>
        <w:t>налогов</w:t>
      </w:r>
      <w:r w:rsidR="004B0568">
        <w:rPr>
          <w:rFonts w:eastAsiaTheme="minorHAnsi" w:cstheme="minorBidi"/>
          <w:noProof/>
          <w:szCs w:val="22"/>
          <w:lang w:eastAsia="en-US"/>
        </w:rPr>
        <w:t xml:space="preserve">ого </w:t>
      </w:r>
      <w:r w:rsidR="004B0568" w:rsidRPr="002753DF">
        <w:rPr>
          <w:rFonts w:eastAsiaTheme="minorHAnsi" w:cstheme="minorBidi"/>
          <w:noProof/>
          <w:color w:val="0000FF"/>
          <w:szCs w:val="22"/>
          <w:lang w:eastAsia="en-US"/>
        </w:rPr>
        <w:t>стимулирования</w:t>
      </w:r>
      <w:r w:rsidR="004B0568">
        <w:rPr>
          <w:rFonts w:eastAsiaTheme="minorHAnsi" w:cstheme="minorBidi"/>
          <w:noProof/>
          <w:szCs w:val="22"/>
          <w:lang w:eastAsia="en-US"/>
        </w:rPr>
        <w:t>)</w:t>
      </w:r>
      <w:r w:rsidR="00E2197D" w:rsidRPr="008840FC">
        <w:rPr>
          <w:rFonts w:eastAsiaTheme="minorHAnsi" w:cstheme="minorBidi"/>
          <w:noProof/>
          <w:szCs w:val="22"/>
          <w:lang w:eastAsia="en-US"/>
        </w:rPr>
        <w:t>.</w:t>
      </w:r>
    </w:p>
    <w:p w14:paraId="2523282C" w14:textId="1F694671" w:rsidR="00D00060" w:rsidRPr="00290E74" w:rsidRDefault="00D00060" w:rsidP="00D00060">
      <w:pPr>
        <w:pStyle w:val="a3"/>
        <w:rPr>
          <w:rFonts w:eastAsiaTheme="minorHAnsi" w:cstheme="minorBidi"/>
          <w:noProof/>
          <w:szCs w:val="22"/>
          <w:lang w:eastAsia="en-US"/>
        </w:rPr>
      </w:pPr>
      <w:r w:rsidRPr="00290E74">
        <w:rPr>
          <w:rFonts w:eastAsiaTheme="minorHAnsi" w:cstheme="minorBidi"/>
          <w:noProof/>
          <w:szCs w:val="22"/>
          <w:lang w:eastAsia="en-US"/>
        </w:rPr>
        <w:t>Целью проведенного исследования является разработка рекомендаций, направленных на увеличение производства ВТ-газа. Основные задачи связаны с анализом институтов и механизмов индикативного планирования, используемых в нефтегазовом секторе; выявлением роли кооперации при реализации высокотехнологичных проектов; оценкой налоговых условий освоения ресурсов ВТ-газа в ЯНАО.</w:t>
      </w:r>
    </w:p>
    <w:p w14:paraId="3294AED1" w14:textId="77777777" w:rsidR="00C85DB6" w:rsidRDefault="00C85DB6" w:rsidP="00C85DB6">
      <w:pPr>
        <w:pStyle w:val="a3"/>
        <w:rPr>
          <w:iCs/>
        </w:rPr>
      </w:pPr>
    </w:p>
    <w:p w14:paraId="460036F4" w14:textId="2552F1A7" w:rsidR="00C85DB6" w:rsidRPr="00B12E8C" w:rsidRDefault="00E96B4C" w:rsidP="005F5C4F">
      <w:pPr>
        <w:pStyle w:val="1"/>
      </w:pPr>
      <w:bookmarkStart w:id="4" w:name="_Toc181868496"/>
      <w:r>
        <w:t xml:space="preserve">1. </w:t>
      </w:r>
      <w:r w:rsidR="00C85DB6" w:rsidRPr="00B12E8C">
        <w:t xml:space="preserve">Формирование государственной политики </w:t>
      </w:r>
      <w:r w:rsidR="00BF7A6D">
        <w:t>применительно к</w:t>
      </w:r>
      <w:r w:rsidR="00C85DB6" w:rsidRPr="00B12E8C">
        <w:t xml:space="preserve"> нефтегазово</w:t>
      </w:r>
      <w:r w:rsidR="00BF7A6D">
        <w:t>му</w:t>
      </w:r>
      <w:r w:rsidR="00C85DB6" w:rsidRPr="00B12E8C">
        <w:t xml:space="preserve"> машиностроени</w:t>
      </w:r>
      <w:r w:rsidR="00BF7A6D">
        <w:t>ю</w:t>
      </w:r>
      <w:bookmarkEnd w:id="4"/>
    </w:p>
    <w:p w14:paraId="304FA975" w14:textId="0E563D44" w:rsidR="005B57CF" w:rsidRPr="00290E74" w:rsidRDefault="005B57CF" w:rsidP="005B57CF">
      <w:pPr>
        <w:pStyle w:val="a3"/>
      </w:pPr>
      <w:r w:rsidRPr="00556311">
        <w:rPr>
          <w:iCs/>
        </w:rPr>
        <w:t xml:space="preserve">В современных условиях </w:t>
      </w:r>
      <w:r w:rsidR="00C746FC" w:rsidRPr="00556311">
        <w:rPr>
          <w:rFonts w:eastAsiaTheme="minorEastAsia"/>
          <w:color w:val="000000" w:themeColor="text1"/>
          <w:kern w:val="24"/>
        </w:rPr>
        <w:t xml:space="preserve">нефтегазовый сектор </w:t>
      </w:r>
      <w:r w:rsidRPr="00556311">
        <w:rPr>
          <w:iCs/>
        </w:rPr>
        <w:t xml:space="preserve">характеризуется возрастающей ролью подрядчиков и производителей оборудования, которые во многом являются средой создания новых знаний и практик ресурсных компаний. Независимые инжиниринговые компании и производители оборудования, которые выполняют экспериментальные и пилотные работы, часто являются </w:t>
      </w:r>
      <w:r w:rsidRPr="00556311">
        <w:rPr>
          <w:iCs/>
        </w:rPr>
        <w:lastRenderedPageBreak/>
        <w:t xml:space="preserve">создателями нового оборудования и генераторами новых подходов к организации производственных процессов, которые затем применяются и </w:t>
      </w:r>
      <w:r w:rsidR="00556311">
        <w:rPr>
          <w:iCs/>
        </w:rPr>
        <w:t>в</w:t>
      </w:r>
      <w:r w:rsidRPr="00556311">
        <w:rPr>
          <w:iCs/>
        </w:rPr>
        <w:t xml:space="preserve"> </w:t>
      </w:r>
      <w:r w:rsidR="00556311">
        <w:rPr>
          <w:iCs/>
        </w:rPr>
        <w:t>ресурсных</w:t>
      </w:r>
      <w:r w:rsidRPr="00556311">
        <w:rPr>
          <w:iCs/>
        </w:rPr>
        <w:t xml:space="preserve"> компани</w:t>
      </w:r>
      <w:r w:rsidR="00556311">
        <w:rPr>
          <w:iCs/>
        </w:rPr>
        <w:t>ях</w:t>
      </w:r>
      <w:r w:rsidRPr="00556311">
        <w:rPr>
          <w:iCs/>
        </w:rPr>
        <w:t>.</w:t>
      </w:r>
      <w:r w:rsidR="00556311">
        <w:rPr>
          <w:iCs/>
        </w:rPr>
        <w:t xml:space="preserve"> </w:t>
      </w:r>
      <w:r w:rsidRPr="00556311">
        <w:rPr>
          <w:bCs/>
        </w:rPr>
        <w:t xml:space="preserve">Развитие </w:t>
      </w:r>
      <w:r w:rsidR="00556311">
        <w:rPr>
          <w:bCs/>
        </w:rPr>
        <w:t>нефтегазов</w:t>
      </w:r>
      <w:r w:rsidRPr="00556311">
        <w:rPr>
          <w:bCs/>
        </w:rPr>
        <w:t xml:space="preserve">ого сервиса и </w:t>
      </w:r>
      <w:r w:rsidR="00556311">
        <w:rPr>
          <w:bCs/>
        </w:rPr>
        <w:t>машиностроения (</w:t>
      </w:r>
      <w:r w:rsidRPr="00556311">
        <w:rPr>
          <w:bCs/>
        </w:rPr>
        <w:t>поставщиков</w:t>
      </w:r>
      <w:r w:rsidRPr="00556311">
        <w:rPr>
          <w:b/>
          <w:bCs/>
        </w:rPr>
        <w:t xml:space="preserve"> </w:t>
      </w:r>
      <w:r w:rsidR="00556311" w:rsidRPr="00556311">
        <w:rPr>
          <w:bCs/>
        </w:rPr>
        <w:t>оборудования</w:t>
      </w:r>
      <w:r w:rsidR="00556311">
        <w:rPr>
          <w:bCs/>
        </w:rPr>
        <w:t>)</w:t>
      </w:r>
      <w:r w:rsidR="00556311" w:rsidRPr="00556311">
        <w:rPr>
          <w:bCs/>
        </w:rPr>
        <w:t xml:space="preserve"> </w:t>
      </w:r>
      <w:r w:rsidRPr="00290E74">
        <w:t>может рассматриваться в качестве одного из важных факторов экономического роста</w:t>
      </w:r>
      <w:r w:rsidR="00556311" w:rsidRPr="00290E74">
        <w:t xml:space="preserve">, в том числе на </w:t>
      </w:r>
      <w:r w:rsidRPr="00290E74">
        <w:t>регион</w:t>
      </w:r>
      <w:r w:rsidR="00556311" w:rsidRPr="00290E74">
        <w:t xml:space="preserve">альном уровне </w:t>
      </w:r>
      <w:r w:rsidR="006421E2" w:rsidRPr="00290E74">
        <w:t>(</w:t>
      </w:r>
      <w:r w:rsidRPr="00290E74">
        <w:t xml:space="preserve">Cassini, Robert, 2020; Crespi, Katz, </w:t>
      </w:r>
      <w:r w:rsidR="007A63A1" w:rsidRPr="00290E74">
        <w:t xml:space="preserve">Olivari, </w:t>
      </w:r>
      <w:r w:rsidRPr="00290E74">
        <w:t>2018</w:t>
      </w:r>
      <w:r w:rsidR="006421E2" w:rsidRPr="00290E74">
        <w:t>)</w:t>
      </w:r>
      <w:r w:rsidRPr="00290E74">
        <w:t>.</w:t>
      </w:r>
      <w:r w:rsidR="00556311" w:rsidRPr="00290E74">
        <w:t xml:space="preserve"> </w:t>
      </w:r>
    </w:p>
    <w:p w14:paraId="11490D5A" w14:textId="54DBB3AA" w:rsidR="00C85DB6" w:rsidRPr="00481A50" w:rsidRDefault="0084500E" w:rsidP="00C85DB6">
      <w:pPr>
        <w:pStyle w:val="a3"/>
        <w:rPr>
          <w:iCs/>
        </w:rPr>
      </w:pPr>
      <w:r w:rsidRPr="00290E74">
        <w:rPr>
          <w:iCs/>
        </w:rPr>
        <w:t>Нефтегазовое машиностроение (НГМ) в России имеет продолжительную историю своего развития. При это</w:t>
      </w:r>
      <w:r>
        <w:rPr>
          <w:iCs/>
        </w:rPr>
        <w:t>м у</w:t>
      </w:r>
      <w:r w:rsidR="00C85DB6" w:rsidRPr="00B12E8C">
        <w:rPr>
          <w:iCs/>
        </w:rPr>
        <w:t xml:space="preserve">ровень обеспечения российских потребителей отечественным оборудованием для добычи углеводородного сырья </w:t>
      </w:r>
      <w:r>
        <w:rPr>
          <w:iCs/>
        </w:rPr>
        <w:t xml:space="preserve">по целому </w:t>
      </w:r>
      <w:r w:rsidRPr="00EE1D6E">
        <w:rPr>
          <w:iCs/>
        </w:rPr>
        <w:t xml:space="preserve">ряду товарных позиций </w:t>
      </w:r>
      <w:r w:rsidR="00F03318">
        <w:rPr>
          <w:iCs/>
        </w:rPr>
        <w:t>пока еще далек от необходимого уровня</w:t>
      </w:r>
      <w:r w:rsidR="009A1AA6">
        <w:rPr>
          <w:iCs/>
        </w:rPr>
        <w:t>, обеспечивающего технологический</w:t>
      </w:r>
      <w:r w:rsidR="00F03318">
        <w:rPr>
          <w:iCs/>
        </w:rPr>
        <w:t xml:space="preserve"> сувер</w:t>
      </w:r>
      <w:r w:rsidR="009A1AA6">
        <w:rPr>
          <w:iCs/>
        </w:rPr>
        <w:t>енитет</w:t>
      </w:r>
      <w:r w:rsidR="00C85DB6" w:rsidRPr="00EE1D6E">
        <w:rPr>
          <w:iCs/>
        </w:rPr>
        <w:t xml:space="preserve">. </w:t>
      </w:r>
      <w:r w:rsidR="004C69F8" w:rsidRPr="00007CC4">
        <w:rPr>
          <w:iCs/>
        </w:rPr>
        <w:t xml:space="preserve">По данным Минпромторга России, в 2014 году доля импорта в поставках критически важного нефтегазового оборудования составляла 80%, а по отдельным позициям российских аналогов </w:t>
      </w:r>
      <w:r w:rsidR="00007CC4">
        <w:rPr>
          <w:iCs/>
        </w:rPr>
        <w:t>вообще</w:t>
      </w:r>
      <w:r w:rsidR="004C69F8" w:rsidRPr="00007CC4">
        <w:rPr>
          <w:iCs/>
        </w:rPr>
        <w:t xml:space="preserve"> не существовало. </w:t>
      </w:r>
      <w:r w:rsidR="008840FC">
        <w:rPr>
          <w:iCs/>
        </w:rPr>
        <w:t>Например</w:t>
      </w:r>
      <w:r w:rsidR="004C69F8" w:rsidRPr="00007CC4">
        <w:rPr>
          <w:iCs/>
        </w:rPr>
        <w:t xml:space="preserve">, у </w:t>
      </w:r>
      <w:r w:rsidR="00391C1F" w:rsidRPr="00007CC4">
        <w:rPr>
          <w:iCs/>
        </w:rPr>
        <w:t>нефтегазового сектора</w:t>
      </w:r>
      <w:r w:rsidR="004C69F8" w:rsidRPr="00007CC4">
        <w:rPr>
          <w:iCs/>
        </w:rPr>
        <w:t xml:space="preserve"> была высокая зависимость от зарубежного насосно-компрессорного, сейсморазведочного оборудования, технологий и техники для морского бурения, систем автоматизации и программного обеспечения.</w:t>
      </w:r>
      <w:r w:rsidR="00F610C8">
        <w:rPr>
          <w:rStyle w:val="a7"/>
          <w:iCs/>
        </w:rPr>
        <w:footnoteReference w:id="2"/>
      </w:r>
      <w:r w:rsidR="004C69F8">
        <w:rPr>
          <w:iCs/>
        </w:rPr>
        <w:t xml:space="preserve"> </w:t>
      </w:r>
      <w:r w:rsidR="00391C1F">
        <w:rPr>
          <w:iCs/>
        </w:rPr>
        <w:t>Такое положение</w:t>
      </w:r>
      <w:r w:rsidR="00C85DB6" w:rsidRPr="00B12E8C">
        <w:rPr>
          <w:iCs/>
        </w:rPr>
        <w:t xml:space="preserve"> в</w:t>
      </w:r>
      <w:r>
        <w:rPr>
          <w:iCs/>
        </w:rPr>
        <w:t xml:space="preserve"> значительной степени</w:t>
      </w:r>
      <w:r w:rsidR="00C85DB6" w:rsidRPr="00B12E8C">
        <w:rPr>
          <w:iCs/>
        </w:rPr>
        <w:t xml:space="preserve"> связано с тем, что в современной России</w:t>
      </w:r>
      <w:r w:rsidR="009A1AA6">
        <w:rPr>
          <w:iCs/>
        </w:rPr>
        <w:t xml:space="preserve"> до</w:t>
      </w:r>
      <w:r w:rsidR="00C85DB6" w:rsidRPr="00B12E8C">
        <w:rPr>
          <w:iCs/>
        </w:rPr>
        <w:t xml:space="preserve">бывающие компании были ориентированы на закупку импортного оборудования, на услуги крупных зарубежных высокотехнологичных сервисных компаний. </w:t>
      </w:r>
      <w:r w:rsidR="001E110B">
        <w:rPr>
          <w:iCs/>
          <w:color w:val="0000FF"/>
        </w:rPr>
        <w:t>К</w:t>
      </w:r>
      <w:r w:rsidR="001E110B" w:rsidRPr="001E110B">
        <w:rPr>
          <w:iCs/>
          <w:color w:val="0000FF"/>
        </w:rPr>
        <w:t xml:space="preserve"> причин</w:t>
      </w:r>
      <w:r w:rsidR="001E110B">
        <w:rPr>
          <w:iCs/>
          <w:color w:val="0000FF"/>
        </w:rPr>
        <w:t>ам</w:t>
      </w:r>
      <w:r w:rsidR="001E110B" w:rsidRPr="001E110B">
        <w:rPr>
          <w:iCs/>
          <w:color w:val="0000FF"/>
        </w:rPr>
        <w:t xml:space="preserve"> </w:t>
      </w:r>
      <w:r w:rsidR="001E110B">
        <w:rPr>
          <w:iCs/>
          <w:color w:val="0000FF"/>
        </w:rPr>
        <w:t>(</w:t>
      </w:r>
      <w:r w:rsidR="001E110B" w:rsidRPr="001E110B">
        <w:rPr>
          <w:iCs/>
          <w:color w:val="0000FF"/>
        </w:rPr>
        <w:t>исторического характера</w:t>
      </w:r>
      <w:r w:rsidR="001E110B">
        <w:rPr>
          <w:iCs/>
          <w:color w:val="0000FF"/>
        </w:rPr>
        <w:t>)</w:t>
      </w:r>
      <w:r w:rsidR="001E110B" w:rsidRPr="001E110B">
        <w:rPr>
          <w:iCs/>
          <w:color w:val="0000FF"/>
        </w:rPr>
        <w:t xml:space="preserve"> такой зависимости </w:t>
      </w:r>
      <w:r w:rsidR="001E110B">
        <w:rPr>
          <w:iCs/>
          <w:color w:val="0000FF"/>
        </w:rPr>
        <w:t>следует отнести</w:t>
      </w:r>
      <w:r w:rsidR="001E110B" w:rsidRPr="001E110B">
        <w:rPr>
          <w:iCs/>
          <w:color w:val="0000FF"/>
        </w:rPr>
        <w:t xml:space="preserve"> разрыв кооперационных цепочек после распада СССР и выход на освоение новых классов запасов (например, на шельф</w:t>
      </w:r>
      <w:r w:rsidR="001E110B">
        <w:rPr>
          <w:iCs/>
          <w:color w:val="0000FF"/>
        </w:rPr>
        <w:t>е</w:t>
      </w:r>
      <w:r w:rsidR="001E110B" w:rsidRPr="001E110B">
        <w:rPr>
          <w:iCs/>
          <w:color w:val="0000FF"/>
        </w:rPr>
        <w:t>), где западные компании уже работали и имели конкурентоспособное оборудование</w:t>
      </w:r>
      <w:r w:rsidR="00B62E69">
        <w:rPr>
          <w:iCs/>
          <w:color w:val="0000FF"/>
        </w:rPr>
        <w:t xml:space="preserve"> </w:t>
      </w:r>
      <w:r w:rsidR="00B62E69" w:rsidRPr="005F50DD">
        <w:rPr>
          <w:iCs/>
          <w:color w:val="0000FF"/>
        </w:rPr>
        <w:t>(</w:t>
      </w:r>
      <w:r w:rsidR="00B62E69" w:rsidRPr="005F50DD">
        <w:rPr>
          <w:color w:val="0000FF"/>
          <w:lang w:val="en-US"/>
        </w:rPr>
        <w:t>Konoplyanik</w:t>
      </w:r>
      <w:r w:rsidR="00B62E69" w:rsidRPr="005F50DD">
        <w:rPr>
          <w:color w:val="0000FF"/>
        </w:rPr>
        <w:t>, 2023)</w:t>
      </w:r>
      <w:r w:rsidR="001E110B" w:rsidRPr="005F50DD">
        <w:rPr>
          <w:iCs/>
          <w:color w:val="0000FF"/>
        </w:rPr>
        <w:t xml:space="preserve">. </w:t>
      </w:r>
      <w:r w:rsidR="00C85DB6" w:rsidRPr="00B12E8C">
        <w:rPr>
          <w:iCs/>
        </w:rPr>
        <w:t>В результате российское нефтегазовое машиностроение оказалось в кризисном состоянии</w:t>
      </w:r>
      <w:r w:rsidR="0059368A" w:rsidRPr="0059368A">
        <w:rPr>
          <w:iCs/>
        </w:rPr>
        <w:t xml:space="preserve"> </w:t>
      </w:r>
      <w:r w:rsidR="00290116" w:rsidRPr="00481A50">
        <w:rPr>
          <w:iCs/>
        </w:rPr>
        <w:t>(</w:t>
      </w:r>
      <w:r w:rsidR="0059368A" w:rsidRPr="00481A50">
        <w:rPr>
          <w:iCs/>
        </w:rPr>
        <w:t>Лебедева, 2019</w:t>
      </w:r>
      <w:r w:rsidR="00290116" w:rsidRPr="00481A50">
        <w:rPr>
          <w:iCs/>
        </w:rPr>
        <w:t>)</w:t>
      </w:r>
      <w:r w:rsidR="0059368A" w:rsidRPr="00481A50">
        <w:rPr>
          <w:iCs/>
        </w:rPr>
        <w:t>.</w:t>
      </w:r>
    </w:p>
    <w:p w14:paraId="093F0F1D" w14:textId="5D67A84B" w:rsidR="008840FC" w:rsidRPr="00B12E8C" w:rsidRDefault="008840FC" w:rsidP="008840FC">
      <w:pPr>
        <w:pStyle w:val="a3"/>
        <w:rPr>
          <w:iCs/>
        </w:rPr>
      </w:pPr>
      <w:r w:rsidRPr="00B12E8C">
        <w:rPr>
          <w:iCs/>
        </w:rPr>
        <w:t xml:space="preserve">Для проведения успешной промышленной политики, в том числе применительно к НГМ, необходима реализация целого ряда мер, которые обсуждаются уже достаточно продолжительное время, но, пожалуй, еще никогда в современной России не были столь актуальны и </w:t>
      </w:r>
      <w:r w:rsidR="00F03318">
        <w:rPr>
          <w:iCs/>
        </w:rPr>
        <w:t>остро необходимы</w:t>
      </w:r>
      <w:r w:rsidRPr="00B12E8C">
        <w:rPr>
          <w:iCs/>
        </w:rPr>
        <w:t>. К укрупненным направлениям такой политики следует отнести</w:t>
      </w:r>
      <w:r>
        <w:rPr>
          <w:iCs/>
        </w:rPr>
        <w:t>, например</w:t>
      </w:r>
      <w:r w:rsidRPr="00B12E8C">
        <w:rPr>
          <w:iCs/>
        </w:rPr>
        <w:t>:</w:t>
      </w:r>
    </w:p>
    <w:p w14:paraId="53337173" w14:textId="77777777" w:rsidR="008840FC" w:rsidRPr="00D71D5F" w:rsidRDefault="008840FC" w:rsidP="008840FC">
      <w:pPr>
        <w:pStyle w:val="a3"/>
        <w:rPr>
          <w:iCs/>
        </w:rPr>
      </w:pPr>
      <w:r w:rsidRPr="00B12E8C">
        <w:rPr>
          <w:iCs/>
        </w:rPr>
        <w:t xml:space="preserve">– </w:t>
      </w:r>
      <w:r w:rsidRPr="00D71D5F">
        <w:rPr>
          <w:iCs/>
        </w:rPr>
        <w:t>создание условий для увеличения объемов долгосрочного кредитования российских предприятий;</w:t>
      </w:r>
    </w:p>
    <w:p w14:paraId="77941F2B" w14:textId="77777777" w:rsidR="008840FC" w:rsidRPr="00D71D5F" w:rsidRDefault="008840FC" w:rsidP="008840FC">
      <w:pPr>
        <w:pStyle w:val="a3"/>
        <w:rPr>
          <w:iCs/>
        </w:rPr>
      </w:pPr>
      <w:r w:rsidRPr="00D71D5F">
        <w:rPr>
          <w:iCs/>
        </w:rPr>
        <w:t>– развитие механизмов налогового стимулирования в рамках реализации приоритетных направлений промышленной политики;</w:t>
      </w:r>
    </w:p>
    <w:p w14:paraId="087C9F06" w14:textId="77777777" w:rsidR="008840FC" w:rsidRPr="00D71D5F" w:rsidRDefault="008840FC" w:rsidP="008840FC">
      <w:pPr>
        <w:pStyle w:val="a3"/>
        <w:rPr>
          <w:iCs/>
        </w:rPr>
      </w:pPr>
      <w:r w:rsidRPr="00D71D5F">
        <w:rPr>
          <w:iCs/>
        </w:rPr>
        <w:t>– государственная поддержка НИОКР по разработке базовых и прорывных технологий, соответствующих отраслевым приоритетам;</w:t>
      </w:r>
    </w:p>
    <w:p w14:paraId="4CA5B930" w14:textId="110A1E99" w:rsidR="002F2C66" w:rsidRPr="00AC23A8" w:rsidRDefault="002F2C66" w:rsidP="002F2C66">
      <w:pPr>
        <w:pStyle w:val="a3"/>
        <w:rPr>
          <w:iCs/>
        </w:rPr>
      </w:pPr>
      <w:r w:rsidRPr="00AC23A8">
        <w:rPr>
          <w:iCs/>
        </w:rPr>
        <w:t>– развитие системы технического регулирования</w:t>
      </w:r>
      <w:r w:rsidR="009A1AA6">
        <w:rPr>
          <w:iCs/>
        </w:rPr>
        <w:t>;</w:t>
      </w:r>
    </w:p>
    <w:p w14:paraId="3FA0EF5C" w14:textId="22D16DF6" w:rsidR="008840FC" w:rsidRPr="00D71D5F" w:rsidRDefault="008840FC" w:rsidP="008840FC">
      <w:pPr>
        <w:pStyle w:val="a3"/>
        <w:rPr>
          <w:iCs/>
        </w:rPr>
      </w:pPr>
      <w:r w:rsidRPr="00D71D5F">
        <w:rPr>
          <w:iCs/>
        </w:rPr>
        <w:lastRenderedPageBreak/>
        <w:t>– совершенствование системы подготовки, переподготовки и повышения квалификации кадров для высокотехнологичных отраслей промышленности</w:t>
      </w:r>
      <w:r w:rsidR="002F2C66">
        <w:rPr>
          <w:iCs/>
        </w:rPr>
        <w:t>.</w:t>
      </w:r>
    </w:p>
    <w:p w14:paraId="0E14E758" w14:textId="558863EA" w:rsidR="00C85DB6" w:rsidRPr="00AF74F2" w:rsidRDefault="00C85DB6" w:rsidP="00C85DB6">
      <w:pPr>
        <w:pStyle w:val="a3"/>
        <w:rPr>
          <w:iCs/>
          <w:color w:val="0000FF"/>
        </w:rPr>
      </w:pPr>
      <w:r w:rsidRPr="00B12E8C">
        <w:rPr>
          <w:iCs/>
        </w:rPr>
        <w:t xml:space="preserve">Развитие нефтегазового машиностроения в современных условиях </w:t>
      </w:r>
      <w:r w:rsidR="00F03318">
        <w:rPr>
          <w:iCs/>
        </w:rPr>
        <w:t>является важной составляющей</w:t>
      </w:r>
      <w:r w:rsidR="00391C1F">
        <w:rPr>
          <w:iCs/>
        </w:rPr>
        <w:t xml:space="preserve"> </w:t>
      </w:r>
      <w:r w:rsidRPr="00B12E8C">
        <w:rPr>
          <w:iCs/>
        </w:rPr>
        <w:t>обеспечени</w:t>
      </w:r>
      <w:r w:rsidR="00391C1F">
        <w:rPr>
          <w:iCs/>
        </w:rPr>
        <w:t>я</w:t>
      </w:r>
      <w:r w:rsidRPr="00B12E8C">
        <w:rPr>
          <w:iCs/>
        </w:rPr>
        <w:t xml:space="preserve"> технологического суверенитета. В настоящее время государственная поддержка предприятий по производству оборудования для нефтяной и газовой промышленности осуществляется в рамках поддержки создания и развития промышленных производств на территории России и </w:t>
      </w:r>
      <w:r w:rsidR="0084500E">
        <w:rPr>
          <w:iCs/>
        </w:rPr>
        <w:t>при</w:t>
      </w:r>
      <w:r w:rsidRPr="00B12E8C">
        <w:rPr>
          <w:iCs/>
        </w:rPr>
        <w:t xml:space="preserve"> реализации мероприятий отраслевой программы импортозамещения. </w:t>
      </w:r>
      <w:r w:rsidR="003B314D">
        <w:rPr>
          <w:iCs/>
        </w:rPr>
        <w:t xml:space="preserve">По состоянию на середину 2024 года </w:t>
      </w:r>
      <w:r w:rsidRPr="00B12E8C">
        <w:rPr>
          <w:iCs/>
        </w:rPr>
        <w:t xml:space="preserve">принято </w:t>
      </w:r>
      <w:r w:rsidR="003B314D">
        <w:rPr>
          <w:iCs/>
        </w:rPr>
        <w:t xml:space="preserve">более </w:t>
      </w:r>
      <w:r w:rsidRPr="00B12E8C">
        <w:rPr>
          <w:iCs/>
        </w:rPr>
        <w:t xml:space="preserve">200 различных государственных и отраслевых нормативно-правовых документов, ориентированных на развитие отечественной промышленности, </w:t>
      </w:r>
      <w:r>
        <w:rPr>
          <w:iCs/>
        </w:rPr>
        <w:t>значительн</w:t>
      </w:r>
      <w:r w:rsidRPr="00B12E8C">
        <w:rPr>
          <w:iCs/>
        </w:rPr>
        <w:t xml:space="preserve">ая часть которых применима к </w:t>
      </w:r>
      <w:r w:rsidR="00AC23A8">
        <w:rPr>
          <w:iCs/>
        </w:rPr>
        <w:t>разработке и созданию</w:t>
      </w:r>
      <w:r w:rsidRPr="00B12E8C">
        <w:rPr>
          <w:iCs/>
        </w:rPr>
        <w:t xml:space="preserve"> оборудования для добычи и производства ВТ-газа. </w:t>
      </w:r>
      <w:r w:rsidR="003B314D">
        <w:rPr>
          <w:iCs/>
        </w:rPr>
        <w:t xml:space="preserve">В этой связи на повестке дня </w:t>
      </w:r>
      <w:r w:rsidRPr="00B12E8C">
        <w:rPr>
          <w:iCs/>
        </w:rPr>
        <w:t>стоят задачи даже не столько расширения перечня уже работающих (с разной степенью успешности) инструментов. Скорее требуются их систематизация, упрощение процедур их практического использования, учет особенностей конкретных отраслей</w:t>
      </w:r>
      <w:r w:rsidR="003D5B3E">
        <w:rPr>
          <w:iCs/>
        </w:rPr>
        <w:t xml:space="preserve">, формирования </w:t>
      </w:r>
      <w:r w:rsidR="003D5B3E" w:rsidRPr="003D5B3E">
        <w:rPr>
          <w:iCs/>
        </w:rPr>
        <w:t xml:space="preserve">комплексной стратегии развития </w:t>
      </w:r>
      <w:r w:rsidR="003D5B3E">
        <w:rPr>
          <w:iCs/>
        </w:rPr>
        <w:t>НГМ</w:t>
      </w:r>
      <w:r w:rsidRPr="00B12E8C">
        <w:rPr>
          <w:iCs/>
        </w:rPr>
        <w:t>.</w:t>
      </w:r>
      <w:r w:rsidR="003B314D">
        <w:rPr>
          <w:iCs/>
        </w:rPr>
        <w:t xml:space="preserve"> В конечном счете, речь идет о придании фрагментам </w:t>
      </w:r>
      <w:r w:rsidR="00B572AC">
        <w:rPr>
          <w:iCs/>
        </w:rPr>
        <w:t>системы государственного регулирования научно-технологическим развитием большей целенаправленности, системности и гибкости.</w:t>
      </w:r>
    </w:p>
    <w:p w14:paraId="52FBDB2E" w14:textId="677C6467" w:rsidR="00C85DB6" w:rsidRPr="00B12E8C" w:rsidRDefault="003D5B3E" w:rsidP="00C85DB6">
      <w:pPr>
        <w:pStyle w:val="a3"/>
        <w:rPr>
          <w:iCs/>
        </w:rPr>
      </w:pPr>
      <w:r>
        <w:rPr>
          <w:iCs/>
        </w:rPr>
        <w:t>И</w:t>
      </w:r>
      <w:r w:rsidR="00C85DB6" w:rsidRPr="00B12E8C">
        <w:rPr>
          <w:iCs/>
        </w:rPr>
        <w:t xml:space="preserve">меющиеся проблемы для </w:t>
      </w:r>
      <w:r w:rsidR="008840FC">
        <w:rPr>
          <w:iCs/>
        </w:rPr>
        <w:t xml:space="preserve">развития </w:t>
      </w:r>
      <w:r w:rsidR="00C85DB6" w:rsidRPr="00B12E8C">
        <w:rPr>
          <w:iCs/>
        </w:rPr>
        <w:t>специализированного нефтегазового машиностроения и направления их решения схожи с другими подотраслями машиностроительной отрасли. Эти проблемы в целом должны решаться в рамках государственной промышленной политики, ориентированной на развитие отечественных разработчиков и производителей оборудования и техники</w:t>
      </w:r>
      <w:r w:rsidR="002170FC">
        <w:rPr>
          <w:iCs/>
        </w:rPr>
        <w:t>:</w:t>
      </w:r>
      <w:r w:rsidR="00C85DB6" w:rsidRPr="00B12E8C">
        <w:rPr>
          <w:iCs/>
        </w:rPr>
        <w:t xml:space="preserve"> полного, сквозного цикла – от этапа НИОКР до обслуживания работающего оборудования. При этом необходимо иметь ввиду специфику НГМ, в том числе его место и роль в обеспечении технологического суверенитета России, учитывая, что НГМ и нефтегазовый сервис создают необходимые предпосылки для стабильного функционирования базового для экономики России отраслевого сектора – нефтегазового.</w:t>
      </w:r>
    </w:p>
    <w:p w14:paraId="70A5E369" w14:textId="77777777" w:rsidR="00CE6812" w:rsidRDefault="00CF619C" w:rsidP="00C85DB6">
      <w:pPr>
        <w:pStyle w:val="a3"/>
        <w:rPr>
          <w:iCs/>
        </w:rPr>
      </w:pPr>
      <w:r>
        <w:rPr>
          <w:iCs/>
        </w:rPr>
        <w:t>В</w:t>
      </w:r>
      <w:r w:rsidR="00C85DB6" w:rsidRPr="00B12E8C">
        <w:rPr>
          <w:iCs/>
        </w:rPr>
        <w:t xml:space="preserve"> условиях санкционного давления были сделаны </w:t>
      </w:r>
      <w:r w:rsidR="003D5B3E">
        <w:rPr>
          <w:iCs/>
        </w:rPr>
        <w:t>важ</w:t>
      </w:r>
      <w:r w:rsidR="00C85DB6" w:rsidRPr="00B12E8C">
        <w:rPr>
          <w:iCs/>
        </w:rPr>
        <w:t>ные шаги</w:t>
      </w:r>
      <w:r w:rsidR="003D5B3E">
        <w:rPr>
          <w:iCs/>
        </w:rPr>
        <w:t xml:space="preserve"> по стимулированию развития НГМ</w:t>
      </w:r>
      <w:r w:rsidR="00E55028">
        <w:rPr>
          <w:iCs/>
        </w:rPr>
        <w:t xml:space="preserve">, которые позволили получить заметные результаты. </w:t>
      </w:r>
      <w:r w:rsidR="00BA1827">
        <w:rPr>
          <w:iCs/>
        </w:rPr>
        <w:t xml:space="preserve">В конце </w:t>
      </w:r>
      <w:r w:rsidR="00E55028" w:rsidRPr="00E55028">
        <w:rPr>
          <w:iCs/>
        </w:rPr>
        <w:t>2023 год</w:t>
      </w:r>
      <w:r w:rsidR="00BA1827">
        <w:rPr>
          <w:iCs/>
        </w:rPr>
        <w:t>а</w:t>
      </w:r>
      <w:r w:rsidR="00E55028" w:rsidRPr="00E55028">
        <w:rPr>
          <w:iCs/>
        </w:rPr>
        <w:t xml:space="preserve"> дол</w:t>
      </w:r>
      <w:r w:rsidR="00BA1827">
        <w:rPr>
          <w:iCs/>
        </w:rPr>
        <w:t>я</w:t>
      </w:r>
      <w:r w:rsidR="00E55028" w:rsidRPr="00E55028">
        <w:rPr>
          <w:iCs/>
        </w:rPr>
        <w:t xml:space="preserve"> </w:t>
      </w:r>
      <w:r w:rsidR="003D5B3E">
        <w:rPr>
          <w:iCs/>
        </w:rPr>
        <w:t>отечественно</w:t>
      </w:r>
      <w:r w:rsidR="00590548">
        <w:rPr>
          <w:iCs/>
        </w:rPr>
        <w:t xml:space="preserve">го оборудования </w:t>
      </w:r>
      <w:r w:rsidR="003629D5">
        <w:rPr>
          <w:iCs/>
        </w:rPr>
        <w:t>для нефтегазовой промышленности</w:t>
      </w:r>
      <w:r w:rsidR="00E55028" w:rsidRPr="00E55028">
        <w:rPr>
          <w:iCs/>
        </w:rPr>
        <w:t xml:space="preserve"> до</w:t>
      </w:r>
      <w:r w:rsidR="00BA1827">
        <w:rPr>
          <w:iCs/>
        </w:rPr>
        <w:t>стигла</w:t>
      </w:r>
      <w:r w:rsidR="00E55028" w:rsidRPr="00E55028">
        <w:rPr>
          <w:iCs/>
        </w:rPr>
        <w:t xml:space="preserve"> 65%, а по итогам 2025 года </w:t>
      </w:r>
      <w:r w:rsidR="00BA1827">
        <w:rPr>
          <w:iCs/>
        </w:rPr>
        <w:t>ожидается, что эта доля составит</w:t>
      </w:r>
      <w:r w:rsidR="00E55028" w:rsidRPr="00E55028">
        <w:rPr>
          <w:iCs/>
        </w:rPr>
        <w:t xml:space="preserve"> 80%.</w:t>
      </w:r>
      <w:r w:rsidR="00BA1827">
        <w:rPr>
          <w:rStyle w:val="a7"/>
          <w:iCs/>
        </w:rPr>
        <w:footnoteReference w:id="3"/>
      </w:r>
      <w:r w:rsidR="00E55028" w:rsidRPr="00E55028">
        <w:rPr>
          <w:iCs/>
        </w:rPr>
        <w:t xml:space="preserve"> </w:t>
      </w:r>
    </w:p>
    <w:p w14:paraId="24A22194" w14:textId="5C2F200E" w:rsidR="00C85DB6" w:rsidRPr="00F945E0" w:rsidRDefault="00B572AC" w:rsidP="00C85DB6">
      <w:pPr>
        <w:pStyle w:val="a3"/>
        <w:rPr>
          <w:iCs/>
        </w:rPr>
      </w:pPr>
      <w:r>
        <w:rPr>
          <w:iCs/>
        </w:rPr>
        <w:t xml:space="preserve">Чрезвычайно важны </w:t>
      </w:r>
      <w:r w:rsidR="00C85DB6" w:rsidRPr="00B12E8C">
        <w:rPr>
          <w:iCs/>
        </w:rPr>
        <w:t>динамика и взаимосвязь от</w:t>
      </w:r>
      <w:r w:rsidR="00C85DB6">
        <w:rPr>
          <w:iCs/>
        </w:rPr>
        <w:t>д</w:t>
      </w:r>
      <w:r w:rsidR="00C85DB6" w:rsidRPr="00B12E8C">
        <w:rPr>
          <w:iCs/>
        </w:rPr>
        <w:t>е</w:t>
      </w:r>
      <w:r w:rsidR="00C85DB6">
        <w:rPr>
          <w:iCs/>
        </w:rPr>
        <w:t>ль</w:t>
      </w:r>
      <w:r w:rsidR="00C85DB6" w:rsidRPr="00B12E8C">
        <w:rPr>
          <w:iCs/>
        </w:rPr>
        <w:t>ных блоков промышленной политики</w:t>
      </w:r>
      <w:r w:rsidR="00290116">
        <w:rPr>
          <w:iCs/>
        </w:rPr>
        <w:t>:</w:t>
      </w:r>
      <w:r>
        <w:rPr>
          <w:iCs/>
        </w:rPr>
        <w:t xml:space="preserve"> </w:t>
      </w:r>
      <w:r w:rsidR="00C85DB6" w:rsidRPr="00B12E8C">
        <w:rPr>
          <w:iCs/>
        </w:rPr>
        <w:t>отсутствие действенных механизмов</w:t>
      </w:r>
      <w:r>
        <w:rPr>
          <w:iCs/>
        </w:rPr>
        <w:t xml:space="preserve"> координации </w:t>
      </w:r>
      <w:r w:rsidR="00C85DB6" w:rsidRPr="00B12E8C">
        <w:rPr>
          <w:iCs/>
        </w:rPr>
        <w:t xml:space="preserve">в каком-либо направлении может привести к существенному ослаблению </w:t>
      </w:r>
      <w:r w:rsidR="00C85DB6" w:rsidRPr="00B12E8C">
        <w:rPr>
          <w:iCs/>
        </w:rPr>
        <w:lastRenderedPageBreak/>
        <w:t>значимости других.</w:t>
      </w:r>
      <w:r w:rsidR="008840FC">
        <w:rPr>
          <w:iCs/>
        </w:rPr>
        <w:t xml:space="preserve"> </w:t>
      </w:r>
      <w:r w:rsidR="00C85DB6" w:rsidRPr="00B12E8C">
        <w:rPr>
          <w:iCs/>
        </w:rPr>
        <w:t xml:space="preserve">Другой важный аспект – эффективное распределение рисков </w:t>
      </w:r>
      <w:r w:rsidR="003D5B3E">
        <w:rPr>
          <w:iCs/>
        </w:rPr>
        <w:t>при</w:t>
      </w:r>
      <w:r w:rsidR="00C85DB6" w:rsidRPr="00B12E8C">
        <w:rPr>
          <w:iCs/>
        </w:rPr>
        <w:t xml:space="preserve"> разработк</w:t>
      </w:r>
      <w:r w:rsidR="003D5B3E">
        <w:rPr>
          <w:iCs/>
        </w:rPr>
        <w:t>е</w:t>
      </w:r>
      <w:r w:rsidR="00C85DB6" w:rsidRPr="00B12E8C">
        <w:rPr>
          <w:iCs/>
        </w:rPr>
        <w:t xml:space="preserve"> и производств</w:t>
      </w:r>
      <w:r w:rsidR="003D5B3E">
        <w:rPr>
          <w:iCs/>
        </w:rPr>
        <w:t>е</w:t>
      </w:r>
      <w:r w:rsidR="00C85DB6" w:rsidRPr="00B12E8C">
        <w:rPr>
          <w:iCs/>
        </w:rPr>
        <w:t xml:space="preserve"> нового оборудования, прежде всего, между производителем и потребителем продукции. Например, одним из </w:t>
      </w:r>
      <w:r w:rsidR="00CE6812">
        <w:rPr>
          <w:iCs/>
        </w:rPr>
        <w:t xml:space="preserve">условий </w:t>
      </w:r>
      <w:r w:rsidR="00C85DB6" w:rsidRPr="00B12E8C">
        <w:rPr>
          <w:iCs/>
        </w:rPr>
        <w:t xml:space="preserve">государственной финансовой поддержки может быть требование по предоставлению контрактных гарантий потребителя новой продукции </w:t>
      </w:r>
      <w:r w:rsidR="00C85DB6" w:rsidRPr="00C46D46">
        <w:rPr>
          <w:iCs/>
        </w:rPr>
        <w:t xml:space="preserve">государству и </w:t>
      </w:r>
      <w:r w:rsidR="00C85DB6" w:rsidRPr="00F945E0">
        <w:rPr>
          <w:iCs/>
        </w:rPr>
        <w:t>производителю на покупку минимально-необходимых объемов поддерживаемой продукции при ее соответствии техническим и коммерческим условиям</w:t>
      </w:r>
      <w:r w:rsidR="00A16B43" w:rsidRPr="00F945E0">
        <w:rPr>
          <w:iCs/>
        </w:rPr>
        <w:t xml:space="preserve"> (Жданеев и др., 2020)</w:t>
      </w:r>
      <w:r w:rsidR="00C85DB6" w:rsidRPr="00F945E0">
        <w:rPr>
          <w:iCs/>
        </w:rPr>
        <w:t>.</w:t>
      </w:r>
    </w:p>
    <w:p w14:paraId="18C4C646" w14:textId="554DB6CC" w:rsidR="00E96B4C" w:rsidRDefault="00E96B4C" w:rsidP="006D079E">
      <w:pPr>
        <w:rPr>
          <w:iCs/>
        </w:rPr>
      </w:pPr>
      <w:r w:rsidRPr="00F945E0">
        <w:rPr>
          <w:iCs/>
        </w:rPr>
        <w:t xml:space="preserve">Зарубежный опыт свидетельствует о том, что часто успешное </w:t>
      </w:r>
      <w:r w:rsidR="00B572AC" w:rsidRPr="00F945E0">
        <w:rPr>
          <w:iCs/>
        </w:rPr>
        <w:t xml:space="preserve">становление и развитие </w:t>
      </w:r>
      <w:r w:rsidR="00C46D46" w:rsidRPr="00F945E0">
        <w:rPr>
          <w:iCs/>
        </w:rPr>
        <w:t xml:space="preserve">производственного и </w:t>
      </w:r>
      <w:r w:rsidRPr="00F945E0">
        <w:rPr>
          <w:iCs/>
        </w:rPr>
        <w:t>инновационного потенциала базируется на гибких стратегиях технологического обучения в ответ на меняющиеся условия – «окна возможностей», которые открываются для их развития (например, в зависимости от спроса, от отраслевых технологических, институциональных и специфических проблем).</w:t>
      </w:r>
      <w:r w:rsidR="00745F81" w:rsidRPr="00F945E0">
        <w:rPr>
          <w:iCs/>
        </w:rPr>
        <w:t xml:space="preserve"> Характерным примером является рост добычи нефти и газа из сланцевых формаций</w:t>
      </w:r>
      <w:r w:rsidR="00B834EE" w:rsidRPr="00F945E0">
        <w:rPr>
          <w:iCs/>
        </w:rPr>
        <w:t xml:space="preserve"> </w:t>
      </w:r>
      <w:r w:rsidR="00290116" w:rsidRPr="00F945E0">
        <w:rPr>
          <w:iCs/>
        </w:rPr>
        <w:t>(</w:t>
      </w:r>
      <w:r w:rsidR="00B834EE" w:rsidRPr="00F945E0">
        <w:rPr>
          <w:iCs/>
        </w:rPr>
        <w:t>Thomas, Pidgeon, Bradshaw, 2018</w:t>
      </w:r>
      <w:r w:rsidR="00314CA5" w:rsidRPr="00F945E0">
        <w:rPr>
          <w:iCs/>
        </w:rPr>
        <w:t>;</w:t>
      </w:r>
      <w:r w:rsidR="00745F81" w:rsidRPr="00F945E0">
        <w:rPr>
          <w:iCs/>
        </w:rPr>
        <w:t xml:space="preserve"> </w:t>
      </w:r>
      <w:r w:rsidR="006D079E" w:rsidRPr="00224351">
        <w:rPr>
          <w:rFonts w:cs="Times New Roman"/>
          <w:color w:val="0000FF"/>
          <w:szCs w:val="28"/>
        </w:rPr>
        <w:t>Сланцевая революция …, 2019;</w:t>
      </w:r>
      <w:r w:rsidR="006D079E" w:rsidRPr="00F945E0">
        <w:rPr>
          <w:rFonts w:cs="Times New Roman"/>
          <w:szCs w:val="28"/>
        </w:rPr>
        <w:t xml:space="preserve"> </w:t>
      </w:r>
      <w:r w:rsidR="00745F81" w:rsidRPr="00F945E0">
        <w:t>Иванов, Пусенкова, Соколов, 2024</w:t>
      </w:r>
      <w:r w:rsidR="00290116" w:rsidRPr="00F945E0">
        <w:t>)</w:t>
      </w:r>
      <w:r w:rsidR="00745F81" w:rsidRPr="00F945E0">
        <w:rPr>
          <w:iCs/>
        </w:rPr>
        <w:t>.</w:t>
      </w:r>
      <w:r w:rsidRPr="00F945E0">
        <w:rPr>
          <w:iCs/>
        </w:rPr>
        <w:t xml:space="preserve"> </w:t>
      </w:r>
      <w:r w:rsidR="00B572AC">
        <w:rPr>
          <w:iCs/>
        </w:rPr>
        <w:t>Для р</w:t>
      </w:r>
      <w:r w:rsidRPr="00B12E8C">
        <w:rPr>
          <w:iCs/>
        </w:rPr>
        <w:t>оссийски</w:t>
      </w:r>
      <w:r w:rsidR="00B572AC">
        <w:rPr>
          <w:iCs/>
        </w:rPr>
        <w:t>х</w:t>
      </w:r>
      <w:r w:rsidRPr="00B12E8C">
        <w:rPr>
          <w:iCs/>
        </w:rPr>
        <w:t xml:space="preserve"> компани</w:t>
      </w:r>
      <w:r w:rsidR="00B572AC">
        <w:rPr>
          <w:iCs/>
        </w:rPr>
        <w:t>й</w:t>
      </w:r>
      <w:r w:rsidRPr="00B12E8C">
        <w:rPr>
          <w:iCs/>
        </w:rPr>
        <w:t xml:space="preserve"> </w:t>
      </w:r>
      <w:r w:rsidR="00C81629">
        <w:rPr>
          <w:iCs/>
        </w:rPr>
        <w:t>нефтегазового и смежных секторов экономики</w:t>
      </w:r>
      <w:r w:rsidRPr="00B12E8C">
        <w:rPr>
          <w:iCs/>
        </w:rPr>
        <w:t xml:space="preserve"> </w:t>
      </w:r>
      <w:r w:rsidR="00B572AC">
        <w:rPr>
          <w:iCs/>
        </w:rPr>
        <w:t xml:space="preserve">данное </w:t>
      </w:r>
      <w:r w:rsidRPr="00B12E8C">
        <w:rPr>
          <w:iCs/>
        </w:rPr>
        <w:t>«окно возможностей»</w:t>
      </w:r>
      <w:r w:rsidR="00B572AC">
        <w:rPr>
          <w:iCs/>
        </w:rPr>
        <w:t xml:space="preserve"> открывается в связи со стремительным </w:t>
      </w:r>
      <w:r w:rsidRPr="00B12E8C">
        <w:rPr>
          <w:iCs/>
        </w:rPr>
        <w:t xml:space="preserve"> изменением ресурсной базы </w:t>
      </w:r>
      <w:r w:rsidR="00C81629">
        <w:rPr>
          <w:iCs/>
        </w:rPr>
        <w:t>углеводородного сырья</w:t>
      </w:r>
      <w:r w:rsidR="00B572AC">
        <w:rPr>
          <w:iCs/>
        </w:rPr>
        <w:t xml:space="preserve"> (доля ТРИЗ приближается уже к 70%)</w:t>
      </w:r>
      <w:r w:rsidRPr="00B12E8C">
        <w:rPr>
          <w:iCs/>
        </w:rPr>
        <w:t xml:space="preserve">, </w:t>
      </w:r>
      <w:r w:rsidR="00B572AC">
        <w:rPr>
          <w:iCs/>
        </w:rPr>
        <w:t xml:space="preserve">а также в связи с </w:t>
      </w:r>
      <w:r w:rsidRPr="00B12E8C">
        <w:rPr>
          <w:iCs/>
        </w:rPr>
        <w:t xml:space="preserve">острой необходимостью импортозамещения и развития отечественных технологий. Эти стратегии технологического обучения </w:t>
      </w:r>
      <w:r>
        <w:rPr>
          <w:iCs/>
        </w:rPr>
        <w:t xml:space="preserve">в мировой практике </w:t>
      </w:r>
      <w:r w:rsidRPr="00B12E8C">
        <w:rPr>
          <w:iCs/>
        </w:rPr>
        <w:t xml:space="preserve">реализовывались по-разному: от имитационного (мелкие новшества, вносимые в существующие технологии) и </w:t>
      </w:r>
      <w:r>
        <w:rPr>
          <w:iCs/>
        </w:rPr>
        <w:t>«</w:t>
      </w:r>
      <w:r w:rsidRPr="00B12E8C">
        <w:rPr>
          <w:iCs/>
        </w:rPr>
        <w:t>оборонительного</w:t>
      </w:r>
      <w:r>
        <w:rPr>
          <w:iCs/>
        </w:rPr>
        <w:t>»</w:t>
      </w:r>
      <w:r w:rsidRPr="00B12E8C">
        <w:rPr>
          <w:iCs/>
        </w:rPr>
        <w:t xml:space="preserve"> (подготовка к следованию за лидерами) поведения до </w:t>
      </w:r>
      <w:r>
        <w:rPr>
          <w:iCs/>
        </w:rPr>
        <w:t>«</w:t>
      </w:r>
      <w:r w:rsidRPr="00B12E8C">
        <w:rPr>
          <w:iCs/>
        </w:rPr>
        <w:t>наступательных</w:t>
      </w:r>
      <w:r>
        <w:rPr>
          <w:iCs/>
        </w:rPr>
        <w:t>»</w:t>
      </w:r>
      <w:r w:rsidRPr="00B12E8C">
        <w:rPr>
          <w:iCs/>
        </w:rPr>
        <w:t xml:space="preserve"> стратегий с элементами опережения в процессах технологической модернизации</w:t>
      </w:r>
      <w:r w:rsidR="00E93BDE">
        <w:rPr>
          <w:iCs/>
        </w:rPr>
        <w:t xml:space="preserve"> </w:t>
      </w:r>
      <w:r w:rsidR="00E93BDE" w:rsidRPr="00E93BDE">
        <w:rPr>
          <w:iCs/>
          <w:color w:val="0000FF"/>
        </w:rPr>
        <w:t>и разработки принципиально новых видов техники и технологий</w:t>
      </w:r>
      <w:r w:rsidR="004E250B" w:rsidRPr="00E93BDE">
        <w:rPr>
          <w:iCs/>
          <w:color w:val="0000FF"/>
        </w:rPr>
        <w:t xml:space="preserve"> </w:t>
      </w:r>
      <w:r w:rsidR="00290116" w:rsidRPr="00F945E0">
        <w:rPr>
          <w:iCs/>
        </w:rPr>
        <w:t>(</w:t>
      </w:r>
      <w:r w:rsidR="004E250B" w:rsidRPr="00F945E0">
        <w:rPr>
          <w:iCs/>
        </w:rPr>
        <w:t>Figueiredo, Piana, 2016; Figueiredo, Piana, 2021</w:t>
      </w:r>
      <w:r w:rsidR="00290116" w:rsidRPr="00F945E0">
        <w:rPr>
          <w:iCs/>
        </w:rPr>
        <w:t>)</w:t>
      </w:r>
      <w:r w:rsidRPr="00F945E0">
        <w:rPr>
          <w:iCs/>
        </w:rPr>
        <w:t xml:space="preserve">. </w:t>
      </w:r>
      <w:r>
        <w:rPr>
          <w:iCs/>
        </w:rPr>
        <w:t xml:space="preserve">Современные условия определяют необходимость для российского машиностроения и сервиса реализации «наступательных» стратегий: требуются </w:t>
      </w:r>
      <w:r w:rsidRPr="00B12E8C">
        <w:rPr>
          <w:iCs/>
        </w:rPr>
        <w:t>попытки стать лидерами через проведение НИОКР, инновационную деятельность, технологическ</w:t>
      </w:r>
      <w:r w:rsidR="00290116">
        <w:rPr>
          <w:iCs/>
        </w:rPr>
        <w:t>ое развитие</w:t>
      </w:r>
      <w:r>
        <w:rPr>
          <w:iCs/>
        </w:rPr>
        <w:t>.</w:t>
      </w:r>
    </w:p>
    <w:p w14:paraId="668362B1" w14:textId="77777777" w:rsidR="00E96B4C" w:rsidRDefault="00E96B4C" w:rsidP="00C85DB6">
      <w:pPr>
        <w:pStyle w:val="a3"/>
        <w:rPr>
          <w:iCs/>
        </w:rPr>
      </w:pPr>
    </w:p>
    <w:p w14:paraId="75C19CD2" w14:textId="352244EF" w:rsidR="001C4A3E" w:rsidRDefault="00E96B4C" w:rsidP="005F5C4F">
      <w:pPr>
        <w:pStyle w:val="1"/>
      </w:pPr>
      <w:bookmarkStart w:id="5" w:name="_Toc181868497"/>
      <w:r>
        <w:t xml:space="preserve">2. </w:t>
      </w:r>
      <w:r w:rsidR="001C4A3E">
        <w:t>И</w:t>
      </w:r>
      <w:r w:rsidR="001C4A3E" w:rsidRPr="00E55028">
        <w:t>нститут</w:t>
      </w:r>
      <w:r w:rsidR="001C4A3E">
        <w:t>ы</w:t>
      </w:r>
      <w:r w:rsidR="001C4A3E" w:rsidRPr="00E55028">
        <w:t xml:space="preserve"> </w:t>
      </w:r>
      <w:r w:rsidR="001C4A3E">
        <w:t xml:space="preserve">и механизмы </w:t>
      </w:r>
      <w:r w:rsidR="001C4A3E" w:rsidRPr="00E67C3C">
        <w:t>индикативного планирования</w:t>
      </w:r>
      <w:r w:rsidR="001C4A3E">
        <w:t xml:space="preserve"> </w:t>
      </w:r>
      <w:r w:rsidR="00745F81">
        <w:t xml:space="preserve">в </w:t>
      </w:r>
      <w:r w:rsidR="00C81629">
        <w:t>нефтегазовом секторе</w:t>
      </w:r>
      <w:bookmarkEnd w:id="5"/>
    </w:p>
    <w:p w14:paraId="750E6803" w14:textId="2E748B6A" w:rsidR="007060BB" w:rsidRPr="004E5D1A" w:rsidRDefault="00F92368" w:rsidP="007060BB">
      <w:pPr>
        <w:rPr>
          <w:rFonts w:cs="Times New Roman"/>
          <w:szCs w:val="28"/>
        </w:rPr>
      </w:pPr>
      <w:r>
        <w:rPr>
          <w:rFonts w:cs="Times New Roman"/>
          <w:szCs w:val="28"/>
        </w:rPr>
        <w:t>Р</w:t>
      </w:r>
      <w:r w:rsidR="009406E5" w:rsidRPr="004E5D1A">
        <w:rPr>
          <w:rFonts w:cs="Times New Roman"/>
          <w:szCs w:val="28"/>
        </w:rPr>
        <w:t>азработк</w:t>
      </w:r>
      <w:r>
        <w:rPr>
          <w:rFonts w:cs="Times New Roman"/>
          <w:szCs w:val="28"/>
        </w:rPr>
        <w:t xml:space="preserve">а, </w:t>
      </w:r>
      <w:r w:rsidR="007060BB" w:rsidRPr="004E5D1A">
        <w:rPr>
          <w:rFonts w:cs="Times New Roman"/>
          <w:szCs w:val="28"/>
        </w:rPr>
        <w:t>производств</w:t>
      </w:r>
      <w:r>
        <w:rPr>
          <w:rFonts w:cs="Times New Roman"/>
          <w:szCs w:val="28"/>
        </w:rPr>
        <w:t xml:space="preserve">о и продвижение </w:t>
      </w:r>
      <w:r w:rsidR="007060BB" w:rsidRPr="00C46D46">
        <w:rPr>
          <w:rFonts w:cs="Times New Roman"/>
          <w:szCs w:val="28"/>
        </w:rPr>
        <w:t>нового</w:t>
      </w:r>
      <w:r w:rsidR="007060BB" w:rsidRPr="004E5D1A">
        <w:rPr>
          <w:rFonts w:cs="Times New Roman"/>
          <w:szCs w:val="28"/>
        </w:rPr>
        <w:t xml:space="preserve"> оборудования, </w:t>
      </w:r>
      <w:r>
        <w:rPr>
          <w:rFonts w:cs="Times New Roman"/>
          <w:szCs w:val="28"/>
        </w:rPr>
        <w:t xml:space="preserve">а также </w:t>
      </w:r>
      <w:r w:rsidR="006A183E" w:rsidRPr="004E5D1A">
        <w:rPr>
          <w:rFonts w:cs="Times New Roman"/>
          <w:szCs w:val="28"/>
        </w:rPr>
        <w:t>ин</w:t>
      </w:r>
      <w:r w:rsidR="007060BB" w:rsidRPr="004E5D1A">
        <w:rPr>
          <w:rFonts w:cs="Times New Roman"/>
          <w:szCs w:val="28"/>
        </w:rPr>
        <w:t>нов</w:t>
      </w:r>
      <w:r w:rsidR="006A183E" w:rsidRPr="004E5D1A">
        <w:rPr>
          <w:rFonts w:cs="Times New Roman"/>
          <w:szCs w:val="28"/>
        </w:rPr>
        <w:t>ационн</w:t>
      </w:r>
      <w:r w:rsidR="007060BB" w:rsidRPr="004E5D1A">
        <w:rPr>
          <w:rFonts w:cs="Times New Roman"/>
          <w:szCs w:val="28"/>
        </w:rPr>
        <w:t xml:space="preserve">ых технологий </w:t>
      </w:r>
      <w:r>
        <w:rPr>
          <w:rFonts w:cs="Times New Roman"/>
          <w:szCs w:val="28"/>
        </w:rPr>
        <w:t xml:space="preserve">невозможно вне </w:t>
      </w:r>
      <w:r w:rsidR="007060BB" w:rsidRPr="004E5D1A">
        <w:rPr>
          <w:rFonts w:cs="Times New Roman"/>
          <w:szCs w:val="28"/>
        </w:rPr>
        <w:t>формировани</w:t>
      </w:r>
      <w:r>
        <w:rPr>
          <w:rFonts w:cs="Times New Roman"/>
          <w:szCs w:val="28"/>
        </w:rPr>
        <w:t>я</w:t>
      </w:r>
      <w:r w:rsidR="007060BB" w:rsidRPr="004E5D1A">
        <w:rPr>
          <w:rFonts w:cs="Times New Roman"/>
          <w:szCs w:val="28"/>
        </w:rPr>
        <w:t xml:space="preserve"> новых </w:t>
      </w:r>
      <w:r w:rsidR="00AC23A8" w:rsidRPr="004E5D1A">
        <w:rPr>
          <w:rFonts w:cs="Times New Roman"/>
          <w:szCs w:val="28"/>
        </w:rPr>
        <w:t xml:space="preserve">производственных </w:t>
      </w:r>
      <w:r w:rsidR="007060BB" w:rsidRPr="004E5D1A">
        <w:rPr>
          <w:rFonts w:cs="Times New Roman"/>
          <w:szCs w:val="28"/>
        </w:rPr>
        <w:t>связей</w:t>
      </w:r>
      <w:r>
        <w:rPr>
          <w:rFonts w:cs="Times New Roman"/>
          <w:szCs w:val="28"/>
        </w:rPr>
        <w:t xml:space="preserve"> и опосредующих их устойчивое функционирование </w:t>
      </w:r>
      <w:r w:rsidR="00927E4B" w:rsidRPr="004E5D1A">
        <w:rPr>
          <w:rFonts w:cs="Times New Roman"/>
          <w:szCs w:val="28"/>
        </w:rPr>
        <w:t xml:space="preserve">цепочек создания </w:t>
      </w:r>
      <w:r>
        <w:rPr>
          <w:rFonts w:cs="Times New Roman"/>
          <w:szCs w:val="28"/>
        </w:rPr>
        <w:t xml:space="preserve">добавленной </w:t>
      </w:r>
      <w:r w:rsidR="00927E4B" w:rsidRPr="00F945E0">
        <w:rPr>
          <w:rFonts w:cs="Times New Roman"/>
          <w:szCs w:val="28"/>
        </w:rPr>
        <w:t>стоимости</w:t>
      </w:r>
      <w:r w:rsidR="00FF5691" w:rsidRPr="00F945E0">
        <w:rPr>
          <w:rFonts w:cs="Times New Roman"/>
          <w:szCs w:val="28"/>
        </w:rPr>
        <w:t xml:space="preserve"> </w:t>
      </w:r>
      <w:r w:rsidR="00290116" w:rsidRPr="00F945E0">
        <w:rPr>
          <w:rFonts w:cs="Times New Roman"/>
          <w:szCs w:val="28"/>
        </w:rPr>
        <w:t>(</w:t>
      </w:r>
      <w:r w:rsidR="00FF5691" w:rsidRPr="00F945E0">
        <w:t>Устюжанина, Устюжанин, 2024</w:t>
      </w:r>
      <w:r w:rsidR="00290116" w:rsidRPr="00F945E0">
        <w:t>)</w:t>
      </w:r>
      <w:r w:rsidR="004E250B" w:rsidRPr="00F945E0">
        <w:t>.</w:t>
      </w:r>
      <w:r w:rsidR="00927E4B" w:rsidRPr="00F945E0">
        <w:rPr>
          <w:rFonts w:cs="Times New Roman"/>
          <w:szCs w:val="28"/>
        </w:rPr>
        <w:t xml:space="preserve"> П</w:t>
      </w:r>
      <w:r w:rsidR="007060BB" w:rsidRPr="00F945E0">
        <w:rPr>
          <w:rFonts w:cs="Times New Roman"/>
          <w:szCs w:val="28"/>
        </w:rPr>
        <w:t>р</w:t>
      </w:r>
      <w:r w:rsidR="00AC23A8" w:rsidRPr="00F945E0">
        <w:rPr>
          <w:rFonts w:cs="Times New Roman"/>
          <w:szCs w:val="28"/>
        </w:rPr>
        <w:t>и</w:t>
      </w:r>
      <w:r w:rsidR="00AC23A8" w:rsidRPr="004E5D1A">
        <w:rPr>
          <w:rFonts w:cs="Times New Roman"/>
          <w:szCs w:val="28"/>
        </w:rPr>
        <w:t xml:space="preserve"> этом пр</w:t>
      </w:r>
      <w:r w:rsidR="007060BB" w:rsidRPr="004E5D1A">
        <w:rPr>
          <w:rFonts w:cs="Times New Roman"/>
          <w:szCs w:val="28"/>
        </w:rPr>
        <w:t xml:space="preserve">оизводство отдельных </w:t>
      </w:r>
      <w:r w:rsidR="00AC23A8" w:rsidRPr="004E5D1A">
        <w:rPr>
          <w:rFonts w:cs="Times New Roman"/>
          <w:szCs w:val="28"/>
        </w:rPr>
        <w:t xml:space="preserve">комплектующих, </w:t>
      </w:r>
      <w:r w:rsidR="007060BB" w:rsidRPr="00121835">
        <w:rPr>
          <w:rFonts w:cs="Times New Roman"/>
          <w:color w:val="0000FF"/>
          <w:szCs w:val="28"/>
        </w:rPr>
        <w:t>компонент</w:t>
      </w:r>
      <w:r w:rsidR="00121835" w:rsidRPr="00121835">
        <w:rPr>
          <w:rFonts w:cs="Times New Roman"/>
          <w:color w:val="0000FF"/>
          <w:szCs w:val="28"/>
        </w:rPr>
        <w:t>ов</w:t>
      </w:r>
      <w:r w:rsidR="007060BB" w:rsidRPr="004E5D1A">
        <w:rPr>
          <w:rFonts w:cs="Times New Roman"/>
          <w:szCs w:val="28"/>
        </w:rPr>
        <w:t xml:space="preserve"> оборудования</w:t>
      </w:r>
      <w:r w:rsidR="00AC23A8" w:rsidRPr="004E5D1A">
        <w:rPr>
          <w:rFonts w:cs="Times New Roman"/>
          <w:szCs w:val="28"/>
        </w:rPr>
        <w:t>, материалов</w:t>
      </w:r>
      <w:r w:rsidR="00927E4B" w:rsidRPr="004E5D1A">
        <w:rPr>
          <w:rFonts w:cs="Times New Roman"/>
          <w:szCs w:val="28"/>
        </w:rPr>
        <w:t xml:space="preserve"> </w:t>
      </w:r>
      <w:r>
        <w:rPr>
          <w:rFonts w:cs="Times New Roman"/>
          <w:szCs w:val="28"/>
        </w:rPr>
        <w:t xml:space="preserve">не может не быть </w:t>
      </w:r>
      <w:r w:rsidR="007060BB" w:rsidRPr="004E5D1A">
        <w:rPr>
          <w:rFonts w:cs="Times New Roman"/>
          <w:szCs w:val="28"/>
        </w:rPr>
        <w:t>согласован</w:t>
      </w:r>
      <w:r w:rsidR="00927E4B" w:rsidRPr="004E5D1A">
        <w:rPr>
          <w:rFonts w:cs="Times New Roman"/>
          <w:szCs w:val="28"/>
        </w:rPr>
        <w:t xml:space="preserve">о как между контрагентами, так и в </w:t>
      </w:r>
      <w:r>
        <w:rPr>
          <w:rFonts w:cs="Times New Roman"/>
          <w:szCs w:val="28"/>
        </w:rPr>
        <w:t>процессе реализации проект</w:t>
      </w:r>
      <w:r w:rsidR="00290116">
        <w:rPr>
          <w:rFonts w:cs="Times New Roman"/>
          <w:szCs w:val="28"/>
        </w:rPr>
        <w:t>ов</w:t>
      </w:r>
      <w:r>
        <w:rPr>
          <w:rFonts w:cs="Times New Roman"/>
          <w:szCs w:val="28"/>
        </w:rPr>
        <w:t xml:space="preserve"> на </w:t>
      </w:r>
      <w:r w:rsidR="00290116">
        <w:rPr>
          <w:rFonts w:cs="Times New Roman"/>
          <w:szCs w:val="28"/>
        </w:rPr>
        <w:t xml:space="preserve">их </w:t>
      </w:r>
      <w:r>
        <w:rPr>
          <w:rFonts w:cs="Times New Roman"/>
          <w:szCs w:val="28"/>
        </w:rPr>
        <w:t>разных стадиях</w:t>
      </w:r>
      <w:r w:rsidR="007060BB" w:rsidRPr="004E5D1A">
        <w:rPr>
          <w:rFonts w:cs="Times New Roman"/>
          <w:szCs w:val="28"/>
        </w:rPr>
        <w:t xml:space="preserve">. Данные обстоятельства определяют необходимость формирования </w:t>
      </w:r>
      <w:r w:rsidR="00927E4B" w:rsidRPr="004E5D1A">
        <w:rPr>
          <w:rFonts w:cs="Times New Roman"/>
          <w:szCs w:val="28"/>
        </w:rPr>
        <w:t xml:space="preserve">соответствующих </w:t>
      </w:r>
      <w:r>
        <w:rPr>
          <w:rFonts w:cs="Times New Roman"/>
          <w:szCs w:val="28"/>
        </w:rPr>
        <w:t xml:space="preserve">процедур и реализующих их </w:t>
      </w:r>
      <w:r w:rsidR="006A183E" w:rsidRPr="00290116">
        <w:rPr>
          <w:rFonts w:cs="Times New Roman"/>
          <w:szCs w:val="28"/>
        </w:rPr>
        <w:t xml:space="preserve">институтов </w:t>
      </w:r>
      <w:r w:rsidR="007060BB" w:rsidRPr="00290116">
        <w:rPr>
          <w:rFonts w:cs="Times New Roman"/>
          <w:szCs w:val="28"/>
        </w:rPr>
        <w:t>индикативного планирования</w:t>
      </w:r>
      <w:r w:rsidR="00290116" w:rsidRPr="00290116">
        <w:rPr>
          <w:rFonts w:cs="Times New Roman"/>
          <w:szCs w:val="28"/>
        </w:rPr>
        <w:t>.</w:t>
      </w:r>
      <w:r w:rsidR="007060BB" w:rsidRPr="00E205F9">
        <w:rPr>
          <w:rFonts w:cs="Times New Roman"/>
          <w:b/>
          <w:szCs w:val="28"/>
        </w:rPr>
        <w:t xml:space="preserve"> </w:t>
      </w:r>
      <w:r w:rsidR="006436CB">
        <w:rPr>
          <w:rFonts w:cs="Times New Roman"/>
          <w:szCs w:val="28"/>
        </w:rPr>
        <w:t>Р</w:t>
      </w:r>
      <w:r w:rsidR="009406E5" w:rsidRPr="004E5D1A">
        <w:rPr>
          <w:rFonts w:cs="Times New Roman"/>
          <w:szCs w:val="28"/>
        </w:rPr>
        <w:t xml:space="preserve">яд важных шагов в </w:t>
      </w:r>
      <w:r w:rsidR="009406E5" w:rsidRPr="004E5D1A">
        <w:rPr>
          <w:rFonts w:cs="Times New Roman"/>
          <w:szCs w:val="28"/>
        </w:rPr>
        <w:lastRenderedPageBreak/>
        <w:t xml:space="preserve">этом направлении </w:t>
      </w:r>
      <w:r w:rsidR="004E250B">
        <w:rPr>
          <w:rFonts w:cs="Times New Roman"/>
          <w:szCs w:val="28"/>
        </w:rPr>
        <w:t xml:space="preserve">в России </w:t>
      </w:r>
      <w:r w:rsidR="00214974" w:rsidRPr="004E5D1A">
        <w:rPr>
          <w:rFonts w:cs="Times New Roman"/>
          <w:szCs w:val="28"/>
        </w:rPr>
        <w:t>уже сделан</w:t>
      </w:r>
      <w:r w:rsidR="00214974">
        <w:rPr>
          <w:rFonts w:cs="Times New Roman"/>
          <w:szCs w:val="28"/>
        </w:rPr>
        <w:t>, в том числе</w:t>
      </w:r>
      <w:r w:rsidR="00214974" w:rsidRPr="004E5D1A">
        <w:rPr>
          <w:rFonts w:cs="Times New Roman"/>
          <w:szCs w:val="28"/>
        </w:rPr>
        <w:t xml:space="preserve"> </w:t>
      </w:r>
      <w:r w:rsidR="00AC23A8" w:rsidRPr="004E5D1A">
        <w:rPr>
          <w:rFonts w:cs="Times New Roman"/>
          <w:szCs w:val="28"/>
        </w:rPr>
        <w:t xml:space="preserve">применительно к </w:t>
      </w:r>
      <w:r w:rsidR="00214974">
        <w:rPr>
          <w:rFonts w:cs="Times New Roman"/>
          <w:szCs w:val="28"/>
        </w:rPr>
        <w:t>нефтегазовому машиностроению и п</w:t>
      </w:r>
      <w:r w:rsidR="00C46D46">
        <w:rPr>
          <w:rFonts w:cs="Times New Roman"/>
          <w:szCs w:val="28"/>
        </w:rPr>
        <w:t>роизводству ВТ-газа</w:t>
      </w:r>
      <w:r w:rsidR="009406E5" w:rsidRPr="004E5D1A">
        <w:rPr>
          <w:rFonts w:cs="Times New Roman"/>
          <w:szCs w:val="28"/>
        </w:rPr>
        <w:t>.</w:t>
      </w:r>
    </w:p>
    <w:p w14:paraId="2E0B222E" w14:textId="6C720DF8" w:rsidR="00AC1E7B" w:rsidRPr="004E5D1A" w:rsidRDefault="003E77F3" w:rsidP="007060BB">
      <w:pPr>
        <w:rPr>
          <w:rFonts w:cs="Times New Roman"/>
          <w:szCs w:val="28"/>
        </w:rPr>
      </w:pPr>
      <w:r w:rsidRPr="004E5D1A">
        <w:rPr>
          <w:rFonts w:cs="Times New Roman"/>
          <w:szCs w:val="28"/>
        </w:rPr>
        <w:t>На</w:t>
      </w:r>
      <w:r w:rsidR="00AC1E7B" w:rsidRPr="004E5D1A">
        <w:rPr>
          <w:rFonts w:cs="Times New Roman"/>
          <w:szCs w:val="28"/>
        </w:rPr>
        <w:t xml:space="preserve">пример, </w:t>
      </w:r>
      <w:r w:rsidR="00953405" w:rsidRPr="004E5D1A">
        <w:rPr>
          <w:rFonts w:cs="Times New Roman"/>
          <w:szCs w:val="28"/>
        </w:rPr>
        <w:t xml:space="preserve">в 2023 году был </w:t>
      </w:r>
      <w:r w:rsidR="00AC1E7B" w:rsidRPr="004E5D1A">
        <w:rPr>
          <w:rFonts w:cs="Times New Roman"/>
          <w:szCs w:val="28"/>
        </w:rPr>
        <w:t xml:space="preserve">создан Координационный </w:t>
      </w:r>
      <w:r w:rsidR="00AC1E7B" w:rsidRPr="008E3810">
        <w:rPr>
          <w:rFonts w:cs="Times New Roman"/>
          <w:szCs w:val="28"/>
        </w:rPr>
        <w:t>совет по импортозамещению</w:t>
      </w:r>
      <w:r w:rsidR="00AC1E7B" w:rsidRPr="004E5D1A">
        <w:rPr>
          <w:rFonts w:cs="Times New Roman"/>
          <w:b/>
          <w:szCs w:val="28"/>
        </w:rPr>
        <w:t xml:space="preserve"> </w:t>
      </w:r>
      <w:r w:rsidR="00AC1E7B" w:rsidRPr="004E5D1A">
        <w:rPr>
          <w:rFonts w:cs="Times New Roman"/>
          <w:szCs w:val="28"/>
        </w:rPr>
        <w:t xml:space="preserve">нефтегазового оборудования </w:t>
      </w:r>
      <w:r w:rsidR="001043D9" w:rsidRPr="004E5D1A">
        <w:rPr>
          <w:rFonts w:cs="Times New Roman"/>
          <w:szCs w:val="28"/>
        </w:rPr>
        <w:t>(</w:t>
      </w:r>
      <w:r w:rsidR="00AC1E7B" w:rsidRPr="004E5D1A">
        <w:rPr>
          <w:rFonts w:cs="Times New Roman"/>
          <w:szCs w:val="28"/>
        </w:rPr>
        <w:t>при Правительственной комиссии по импортозамещению</w:t>
      </w:r>
      <w:r w:rsidR="001043D9" w:rsidRPr="004E5D1A">
        <w:rPr>
          <w:rFonts w:cs="Times New Roman"/>
          <w:szCs w:val="28"/>
        </w:rPr>
        <w:t>)</w:t>
      </w:r>
      <w:r w:rsidR="00AC1E7B" w:rsidRPr="004E5D1A">
        <w:rPr>
          <w:rFonts w:cs="Times New Roman"/>
          <w:szCs w:val="28"/>
        </w:rPr>
        <w:t>, котор</w:t>
      </w:r>
      <w:r w:rsidR="001043D9" w:rsidRPr="004E5D1A">
        <w:rPr>
          <w:rFonts w:cs="Times New Roman"/>
          <w:szCs w:val="28"/>
        </w:rPr>
        <w:t>ый</w:t>
      </w:r>
      <w:r w:rsidR="00AC1E7B" w:rsidRPr="004E5D1A">
        <w:rPr>
          <w:rFonts w:cs="Times New Roman"/>
          <w:szCs w:val="28"/>
        </w:rPr>
        <w:t xml:space="preserve"> объединяет руководителей ключевых компаний отрасли, органов государственной власти, глав субъектов Российской Федерации.</w:t>
      </w:r>
      <w:r w:rsidR="00953405" w:rsidRPr="004E5D1A">
        <w:rPr>
          <w:rFonts w:cs="Times New Roman"/>
          <w:szCs w:val="28"/>
        </w:rPr>
        <w:t xml:space="preserve"> </w:t>
      </w:r>
      <w:r w:rsidR="0040093A" w:rsidRPr="004E5D1A">
        <w:rPr>
          <w:rFonts w:cs="Times New Roman"/>
          <w:szCs w:val="28"/>
        </w:rPr>
        <w:t xml:space="preserve">Координационный совет рассматривает вопросы, связанные с определением ключевых направлений развития нефтегазового машиностроения, а также мониторингом их реализации. </w:t>
      </w:r>
      <w:r w:rsidR="001043D9" w:rsidRPr="004E5D1A">
        <w:rPr>
          <w:rFonts w:cs="Times New Roman"/>
          <w:szCs w:val="28"/>
        </w:rPr>
        <w:t>Данны</w:t>
      </w:r>
      <w:r w:rsidR="009406E5" w:rsidRPr="004E5D1A">
        <w:rPr>
          <w:rFonts w:cs="Times New Roman"/>
          <w:szCs w:val="28"/>
        </w:rPr>
        <w:t xml:space="preserve">м </w:t>
      </w:r>
      <w:r w:rsidR="001043D9" w:rsidRPr="004E5D1A">
        <w:rPr>
          <w:rFonts w:cs="Times New Roman"/>
          <w:szCs w:val="28"/>
        </w:rPr>
        <w:t>совет</w:t>
      </w:r>
      <w:r w:rsidR="009406E5" w:rsidRPr="004E5D1A">
        <w:rPr>
          <w:rFonts w:cs="Times New Roman"/>
          <w:szCs w:val="28"/>
        </w:rPr>
        <w:t>ом акцентир</w:t>
      </w:r>
      <w:r w:rsidR="00AC23A8" w:rsidRPr="004E5D1A">
        <w:rPr>
          <w:rFonts w:cs="Times New Roman"/>
          <w:szCs w:val="28"/>
        </w:rPr>
        <w:t>уется</w:t>
      </w:r>
      <w:r w:rsidR="009406E5" w:rsidRPr="004E5D1A">
        <w:rPr>
          <w:rFonts w:cs="Times New Roman"/>
          <w:szCs w:val="28"/>
        </w:rPr>
        <w:t xml:space="preserve"> внимание</w:t>
      </w:r>
      <w:r w:rsidR="001043D9" w:rsidRPr="004E5D1A">
        <w:rPr>
          <w:rFonts w:cs="Times New Roman"/>
          <w:szCs w:val="28"/>
        </w:rPr>
        <w:t xml:space="preserve"> н</w:t>
      </w:r>
      <w:r w:rsidR="009406E5" w:rsidRPr="004E5D1A">
        <w:rPr>
          <w:rFonts w:cs="Times New Roman"/>
          <w:szCs w:val="28"/>
        </w:rPr>
        <w:t>а</w:t>
      </w:r>
      <w:r w:rsidR="00953405" w:rsidRPr="004E5D1A">
        <w:rPr>
          <w:rFonts w:cs="Times New Roman"/>
          <w:szCs w:val="28"/>
        </w:rPr>
        <w:t xml:space="preserve"> </w:t>
      </w:r>
      <w:r w:rsidR="006D6253">
        <w:rPr>
          <w:rFonts w:cs="Times New Roman"/>
          <w:szCs w:val="28"/>
        </w:rPr>
        <w:t>семи</w:t>
      </w:r>
      <w:r w:rsidR="00953405" w:rsidRPr="004E5D1A">
        <w:rPr>
          <w:rFonts w:cs="Times New Roman"/>
          <w:b/>
          <w:szCs w:val="28"/>
        </w:rPr>
        <w:t xml:space="preserve"> </w:t>
      </w:r>
      <w:r w:rsidR="00402F48" w:rsidRPr="004E5D1A">
        <w:rPr>
          <w:rFonts w:cs="Times New Roman"/>
          <w:szCs w:val="28"/>
        </w:rPr>
        <w:t xml:space="preserve">подотраслях </w:t>
      </w:r>
      <w:r w:rsidR="00C46D46">
        <w:rPr>
          <w:rFonts w:cs="Times New Roman"/>
          <w:szCs w:val="28"/>
        </w:rPr>
        <w:t>нефтегазового сектора</w:t>
      </w:r>
      <w:r w:rsidR="00402F48" w:rsidRPr="004E5D1A">
        <w:rPr>
          <w:rFonts w:cs="Times New Roman"/>
          <w:szCs w:val="28"/>
        </w:rPr>
        <w:t>, для которых н</w:t>
      </w:r>
      <w:r w:rsidR="00953405" w:rsidRPr="004E5D1A">
        <w:rPr>
          <w:rFonts w:cs="Times New Roman"/>
          <w:szCs w:val="28"/>
        </w:rPr>
        <w:t>еобходим</w:t>
      </w:r>
      <w:r w:rsidR="00402F48" w:rsidRPr="004E5D1A">
        <w:rPr>
          <w:rFonts w:cs="Times New Roman"/>
          <w:szCs w:val="28"/>
        </w:rPr>
        <w:t>ы</w:t>
      </w:r>
      <w:r w:rsidR="009406E5" w:rsidRPr="004E5D1A">
        <w:rPr>
          <w:rFonts w:cs="Times New Roman"/>
          <w:szCs w:val="28"/>
        </w:rPr>
        <w:t xml:space="preserve"> разработк</w:t>
      </w:r>
      <w:r w:rsidR="00402F48" w:rsidRPr="004E5D1A">
        <w:rPr>
          <w:rFonts w:cs="Times New Roman"/>
          <w:szCs w:val="28"/>
        </w:rPr>
        <w:t>а</w:t>
      </w:r>
      <w:r w:rsidR="009406E5" w:rsidRPr="004E5D1A">
        <w:rPr>
          <w:rFonts w:cs="Times New Roman"/>
          <w:szCs w:val="28"/>
        </w:rPr>
        <w:t xml:space="preserve"> и производств</w:t>
      </w:r>
      <w:r w:rsidR="00402F48" w:rsidRPr="004E5D1A">
        <w:rPr>
          <w:rFonts w:cs="Times New Roman"/>
          <w:szCs w:val="28"/>
        </w:rPr>
        <w:t>о отечественного</w:t>
      </w:r>
      <w:r w:rsidR="009406E5" w:rsidRPr="004E5D1A">
        <w:rPr>
          <w:rFonts w:cs="Times New Roman"/>
          <w:szCs w:val="28"/>
        </w:rPr>
        <w:t xml:space="preserve"> </w:t>
      </w:r>
      <w:r w:rsidR="00953405" w:rsidRPr="004E5D1A">
        <w:rPr>
          <w:rFonts w:cs="Times New Roman"/>
          <w:szCs w:val="28"/>
        </w:rPr>
        <w:t>оборудовани</w:t>
      </w:r>
      <w:r w:rsidR="001043D9" w:rsidRPr="004E5D1A">
        <w:rPr>
          <w:rFonts w:cs="Times New Roman"/>
          <w:szCs w:val="28"/>
        </w:rPr>
        <w:t>я</w:t>
      </w:r>
      <w:r w:rsidR="00953405" w:rsidRPr="004E5D1A">
        <w:rPr>
          <w:rFonts w:cs="Times New Roman"/>
          <w:szCs w:val="28"/>
        </w:rPr>
        <w:t>: геологоразведка, бурение и добыча как на суше, так и на шельфе, транспортировка углеводородов, нефтегазохимия, переработка нефти и газа, получение СПГ</w:t>
      </w:r>
      <w:r w:rsidRPr="004E5D1A">
        <w:rPr>
          <w:rFonts w:cs="Times New Roman"/>
          <w:szCs w:val="28"/>
        </w:rPr>
        <w:t>.</w:t>
      </w:r>
      <w:r w:rsidR="001043D9" w:rsidRPr="004E5D1A">
        <w:rPr>
          <w:rStyle w:val="a7"/>
          <w:iCs/>
        </w:rPr>
        <w:footnoteReference w:id="4"/>
      </w:r>
      <w:r w:rsidR="001043D9" w:rsidRPr="004E5D1A">
        <w:rPr>
          <w:rFonts w:cs="Times New Roman"/>
          <w:szCs w:val="28"/>
        </w:rPr>
        <w:t xml:space="preserve"> </w:t>
      </w:r>
      <w:r w:rsidRPr="004E5D1A">
        <w:rPr>
          <w:rFonts w:cs="Times New Roman"/>
          <w:szCs w:val="28"/>
        </w:rPr>
        <w:t>П</w:t>
      </w:r>
      <w:r w:rsidR="001043D9" w:rsidRPr="004E5D1A">
        <w:rPr>
          <w:rFonts w:cs="Times New Roman"/>
          <w:szCs w:val="28"/>
        </w:rPr>
        <w:t xml:space="preserve">рактически все </w:t>
      </w:r>
      <w:r w:rsidRPr="004E5D1A">
        <w:rPr>
          <w:rFonts w:cs="Times New Roman"/>
          <w:szCs w:val="28"/>
        </w:rPr>
        <w:t>эт</w:t>
      </w:r>
      <w:r w:rsidR="001043D9" w:rsidRPr="004E5D1A">
        <w:rPr>
          <w:rFonts w:cs="Times New Roman"/>
          <w:szCs w:val="28"/>
        </w:rPr>
        <w:t>и</w:t>
      </w:r>
      <w:r w:rsidR="004E250B">
        <w:rPr>
          <w:rFonts w:cs="Times New Roman"/>
          <w:szCs w:val="28"/>
        </w:rPr>
        <w:t xml:space="preserve"> направления</w:t>
      </w:r>
      <w:r w:rsidRPr="004E5D1A">
        <w:rPr>
          <w:rFonts w:cs="Times New Roman"/>
          <w:szCs w:val="28"/>
        </w:rPr>
        <w:t xml:space="preserve"> </w:t>
      </w:r>
      <w:r w:rsidR="001043D9" w:rsidRPr="004E5D1A">
        <w:rPr>
          <w:rFonts w:cs="Times New Roman"/>
          <w:szCs w:val="28"/>
        </w:rPr>
        <w:t>в той или иной степени затрагивают производств</w:t>
      </w:r>
      <w:r w:rsidRPr="004E5D1A">
        <w:rPr>
          <w:rFonts w:cs="Times New Roman"/>
          <w:szCs w:val="28"/>
        </w:rPr>
        <w:t>о ВТ-газа</w:t>
      </w:r>
      <w:r w:rsidR="00953405" w:rsidRPr="004E5D1A">
        <w:rPr>
          <w:rFonts w:cs="Times New Roman"/>
          <w:szCs w:val="28"/>
        </w:rPr>
        <w:t>.</w:t>
      </w:r>
    </w:p>
    <w:p w14:paraId="3BF9CF54" w14:textId="00FD5CF9" w:rsidR="009406E5" w:rsidRPr="004E5D1A" w:rsidRDefault="009406E5" w:rsidP="009406E5">
      <w:pPr>
        <w:rPr>
          <w:iCs/>
        </w:rPr>
      </w:pPr>
      <w:r w:rsidRPr="004E5D1A">
        <w:rPr>
          <w:rFonts w:cs="Times New Roman"/>
          <w:szCs w:val="28"/>
        </w:rPr>
        <w:t xml:space="preserve">Другим примером </w:t>
      </w:r>
      <w:r w:rsidR="004E5D1A" w:rsidRPr="004E5D1A">
        <w:rPr>
          <w:rFonts w:cs="Times New Roman"/>
          <w:szCs w:val="28"/>
        </w:rPr>
        <w:t xml:space="preserve">новых </w:t>
      </w:r>
      <w:r w:rsidRPr="004E5D1A">
        <w:rPr>
          <w:rFonts w:cs="Times New Roman"/>
          <w:szCs w:val="28"/>
        </w:rPr>
        <w:t xml:space="preserve">институтов индикативного планирования в </w:t>
      </w:r>
      <w:r w:rsidRPr="004E5D1A">
        <w:rPr>
          <w:iCs/>
        </w:rPr>
        <w:t xml:space="preserve">топливно-энергетическом </w:t>
      </w:r>
      <w:r w:rsidRPr="00F945E0">
        <w:rPr>
          <w:iCs/>
        </w:rPr>
        <w:t xml:space="preserve">комплексе (ТЭК) </w:t>
      </w:r>
      <w:r w:rsidRPr="00F945E0">
        <w:rPr>
          <w:rFonts w:cs="Times New Roman"/>
          <w:szCs w:val="28"/>
        </w:rPr>
        <w:t xml:space="preserve">является </w:t>
      </w:r>
      <w:r w:rsidRPr="00F945E0">
        <w:rPr>
          <w:iCs/>
        </w:rPr>
        <w:t xml:space="preserve">Центр компетенций технологического развития ТЭК (ЦКТР), созданный в 2019 году Минэнерго совместно с Минпромторгом на базе «Российского энергетического агентства». Ключевая цель ЦКТР – содействие реализации </w:t>
      </w:r>
      <w:r w:rsidRPr="004E5D1A">
        <w:rPr>
          <w:iCs/>
        </w:rPr>
        <w:t xml:space="preserve">проектов </w:t>
      </w:r>
      <w:r w:rsidR="00C46D46">
        <w:rPr>
          <w:iCs/>
        </w:rPr>
        <w:t xml:space="preserve">по </w:t>
      </w:r>
      <w:r w:rsidRPr="004E5D1A">
        <w:rPr>
          <w:iCs/>
        </w:rPr>
        <w:t>создани</w:t>
      </w:r>
      <w:r w:rsidR="00C46D46">
        <w:rPr>
          <w:iCs/>
        </w:rPr>
        <w:t>ю</w:t>
      </w:r>
      <w:r w:rsidRPr="004E5D1A">
        <w:rPr>
          <w:iCs/>
        </w:rPr>
        <w:t xml:space="preserve"> отечественной техники и технологий для нужд ТЭК. К основным задачам ЦКТР отнесены:</w:t>
      </w:r>
    </w:p>
    <w:p w14:paraId="2DA4461D" w14:textId="1B86CAA1" w:rsidR="009406E5" w:rsidRPr="004E5D1A" w:rsidRDefault="009406E5" w:rsidP="009406E5">
      <w:pPr>
        <w:pStyle w:val="a3"/>
        <w:rPr>
          <w:iCs/>
        </w:rPr>
      </w:pPr>
      <w:r w:rsidRPr="004E5D1A">
        <w:rPr>
          <w:iCs/>
        </w:rPr>
        <w:t xml:space="preserve">– определение приоритетных направлений </w:t>
      </w:r>
      <w:r w:rsidR="001A2F7E" w:rsidRPr="004E5D1A">
        <w:rPr>
          <w:iCs/>
        </w:rPr>
        <w:t xml:space="preserve">научно-технической политики в ТЭК </w:t>
      </w:r>
      <w:r w:rsidRPr="004E5D1A">
        <w:rPr>
          <w:iCs/>
        </w:rPr>
        <w:t>и разработка инструментов государственной поддержки при реализации инновационной политики в отраслях ТЭК;</w:t>
      </w:r>
    </w:p>
    <w:p w14:paraId="12229CC8" w14:textId="0990326E" w:rsidR="009406E5" w:rsidRPr="004E5D1A" w:rsidRDefault="009406E5" w:rsidP="009406E5">
      <w:pPr>
        <w:pStyle w:val="a3"/>
        <w:rPr>
          <w:iCs/>
        </w:rPr>
      </w:pPr>
      <w:r w:rsidRPr="004E5D1A">
        <w:rPr>
          <w:iCs/>
        </w:rPr>
        <w:t>– формирование консолидированного заказа отраслей ТЭК России по технике и технологиям</w:t>
      </w:r>
      <w:r w:rsidR="00C0128B">
        <w:rPr>
          <w:iCs/>
        </w:rPr>
        <w:t xml:space="preserve"> </w:t>
      </w:r>
      <w:r w:rsidR="00C0128B" w:rsidRPr="00C0128B">
        <w:rPr>
          <w:iCs/>
          <w:color w:val="0000FF"/>
        </w:rPr>
        <w:t>(в том числе для последующей реализации «эффекта масштаба»)</w:t>
      </w:r>
      <w:r w:rsidRPr="004E5D1A">
        <w:rPr>
          <w:iCs/>
        </w:rPr>
        <w:t>;</w:t>
      </w:r>
    </w:p>
    <w:p w14:paraId="54E55AC1" w14:textId="77777777" w:rsidR="009406E5" w:rsidRPr="004E5D1A" w:rsidRDefault="009406E5" w:rsidP="009406E5">
      <w:pPr>
        <w:pStyle w:val="a3"/>
        <w:rPr>
          <w:iCs/>
        </w:rPr>
      </w:pPr>
      <w:r w:rsidRPr="004E5D1A">
        <w:rPr>
          <w:iCs/>
        </w:rPr>
        <w:t>– взаимодействие с предприятиями-заказчиками для выработки отраслевых технических заданий и мониторинга выполнения инженерных проектов, испытаний пилотных образцов.</w:t>
      </w:r>
    </w:p>
    <w:p w14:paraId="4EF653BE" w14:textId="43139C5B" w:rsidR="009406E5" w:rsidRPr="00F945E0" w:rsidRDefault="009406E5" w:rsidP="009406E5">
      <w:pPr>
        <w:pStyle w:val="a3"/>
        <w:rPr>
          <w:iCs/>
        </w:rPr>
      </w:pPr>
      <w:r w:rsidRPr="004E5D1A">
        <w:rPr>
          <w:iCs/>
        </w:rPr>
        <w:t xml:space="preserve">Важной составляющей работы ЦКТР является долгосрочное </w:t>
      </w:r>
      <w:r w:rsidR="001A2F7E" w:rsidRPr="004E5D1A">
        <w:rPr>
          <w:iCs/>
        </w:rPr>
        <w:t xml:space="preserve">индикативное </w:t>
      </w:r>
      <w:r w:rsidRPr="004E5D1A">
        <w:rPr>
          <w:iCs/>
        </w:rPr>
        <w:t xml:space="preserve">планирование востребованности техники и технологий в отраслях ТЭК. В рамках этой деятельности </w:t>
      </w:r>
      <w:r w:rsidR="001A2F7E" w:rsidRPr="004E5D1A">
        <w:rPr>
          <w:iCs/>
        </w:rPr>
        <w:t>с</w:t>
      </w:r>
      <w:r w:rsidRPr="004E5D1A">
        <w:rPr>
          <w:iCs/>
        </w:rPr>
        <w:t>формирован</w:t>
      </w:r>
      <w:r w:rsidR="001A2F7E" w:rsidRPr="004E5D1A">
        <w:rPr>
          <w:iCs/>
        </w:rPr>
        <w:t>ы</w:t>
      </w:r>
      <w:r w:rsidRPr="004E5D1A">
        <w:rPr>
          <w:iCs/>
        </w:rPr>
        <w:t xml:space="preserve"> перечн</w:t>
      </w:r>
      <w:r w:rsidR="001A2F7E" w:rsidRPr="004E5D1A">
        <w:rPr>
          <w:iCs/>
        </w:rPr>
        <w:t>и</w:t>
      </w:r>
      <w:r w:rsidRPr="004E5D1A">
        <w:rPr>
          <w:iCs/>
        </w:rPr>
        <w:t xml:space="preserve"> технологического оборудования, создание или локализация которого необходим</w:t>
      </w:r>
      <w:r w:rsidR="00C14D37">
        <w:rPr>
          <w:iCs/>
        </w:rPr>
        <w:t>о</w:t>
      </w:r>
      <w:r w:rsidRPr="004E5D1A">
        <w:rPr>
          <w:iCs/>
        </w:rPr>
        <w:t xml:space="preserve"> на территории России. </w:t>
      </w:r>
      <w:r w:rsidR="001A2F7E" w:rsidRPr="004E5D1A">
        <w:rPr>
          <w:iCs/>
        </w:rPr>
        <w:t>Э</w:t>
      </w:r>
      <w:r w:rsidRPr="004E5D1A">
        <w:rPr>
          <w:iCs/>
        </w:rPr>
        <w:t xml:space="preserve">тот перечень включает </w:t>
      </w:r>
      <w:r w:rsidR="006D6253">
        <w:rPr>
          <w:iCs/>
        </w:rPr>
        <w:t xml:space="preserve">и </w:t>
      </w:r>
      <w:r w:rsidRPr="004E5D1A">
        <w:rPr>
          <w:iCs/>
        </w:rPr>
        <w:t>оборудовани</w:t>
      </w:r>
      <w:r w:rsidR="001A2F7E" w:rsidRPr="004E5D1A">
        <w:rPr>
          <w:iCs/>
        </w:rPr>
        <w:t>е</w:t>
      </w:r>
      <w:r w:rsidRPr="004E5D1A">
        <w:rPr>
          <w:iCs/>
        </w:rPr>
        <w:t>, связанно</w:t>
      </w:r>
      <w:r w:rsidR="001A2F7E" w:rsidRPr="004E5D1A">
        <w:rPr>
          <w:iCs/>
        </w:rPr>
        <w:t>е</w:t>
      </w:r>
      <w:r w:rsidRPr="004E5D1A">
        <w:rPr>
          <w:iCs/>
        </w:rPr>
        <w:t xml:space="preserve"> с производством ВТ-газа</w:t>
      </w:r>
      <w:r w:rsidR="001A2F7E" w:rsidRPr="004E5D1A">
        <w:rPr>
          <w:iCs/>
        </w:rPr>
        <w:t>, н</w:t>
      </w:r>
      <w:r w:rsidRPr="004E5D1A">
        <w:rPr>
          <w:iCs/>
        </w:rPr>
        <w:t>апример, технологии разработки ТРИЗ, включая технику и технологии повышения эффективности буровых работ, в том числе наклонно-направленного бурения; оборудование и технологии для сжижения природного газа.</w:t>
      </w:r>
      <w:r w:rsidR="004E5D1A" w:rsidRPr="004E5D1A">
        <w:rPr>
          <w:iCs/>
        </w:rPr>
        <w:t xml:space="preserve"> Совместно </w:t>
      </w:r>
      <w:r w:rsidR="004E5D1A" w:rsidRPr="004E5D1A">
        <w:rPr>
          <w:iCs/>
        </w:rPr>
        <w:lastRenderedPageBreak/>
        <w:t xml:space="preserve">с отраслевым сообществом ЦКТР </w:t>
      </w:r>
      <w:r w:rsidR="008E3810">
        <w:rPr>
          <w:iCs/>
        </w:rPr>
        <w:t xml:space="preserve">был </w:t>
      </w:r>
      <w:r w:rsidR="004E5D1A" w:rsidRPr="004E5D1A">
        <w:rPr>
          <w:iCs/>
        </w:rPr>
        <w:t>разработан проект Технической политики отраслей ТЭК, определяющей основные направления развития техники и технологий до 2035 г</w:t>
      </w:r>
      <w:r w:rsidR="002D314E" w:rsidRPr="00F945E0">
        <w:rPr>
          <w:iCs/>
        </w:rPr>
        <w:t xml:space="preserve">. </w:t>
      </w:r>
      <w:r w:rsidR="008E3810" w:rsidRPr="00F945E0">
        <w:rPr>
          <w:iCs/>
        </w:rPr>
        <w:t>(</w:t>
      </w:r>
      <w:r w:rsidR="002D314E" w:rsidRPr="00F945E0">
        <w:rPr>
          <w:szCs w:val="28"/>
        </w:rPr>
        <w:t>Жданеев, 2020</w:t>
      </w:r>
      <w:r w:rsidR="008E3810" w:rsidRPr="00F945E0">
        <w:rPr>
          <w:szCs w:val="28"/>
        </w:rPr>
        <w:t>)</w:t>
      </w:r>
      <w:r w:rsidR="004E5D1A" w:rsidRPr="00F945E0">
        <w:rPr>
          <w:iCs/>
        </w:rPr>
        <w:t>.</w:t>
      </w:r>
    </w:p>
    <w:p w14:paraId="397B17BA" w14:textId="662C1F81" w:rsidR="00146B21" w:rsidRPr="00F945E0" w:rsidRDefault="00661C43" w:rsidP="00BF0721">
      <w:pPr>
        <w:rPr>
          <w:rFonts w:cs="Times New Roman"/>
          <w:szCs w:val="28"/>
        </w:rPr>
      </w:pPr>
      <w:r w:rsidRPr="00F945E0">
        <w:rPr>
          <w:rFonts w:cs="Times New Roman"/>
          <w:szCs w:val="28"/>
        </w:rPr>
        <w:t>Современные условия функционирования и развития нефтегазового сектора России определяют необходимость расширения и дополнения у</w:t>
      </w:r>
      <w:r w:rsidR="00C8413A" w:rsidRPr="00F945E0">
        <w:rPr>
          <w:rFonts w:cs="Times New Roman"/>
          <w:szCs w:val="28"/>
        </w:rPr>
        <w:t>же работающи</w:t>
      </w:r>
      <w:r w:rsidRPr="00F945E0">
        <w:rPr>
          <w:rFonts w:cs="Times New Roman"/>
          <w:szCs w:val="28"/>
        </w:rPr>
        <w:t>х</w:t>
      </w:r>
      <w:r w:rsidR="00C8413A" w:rsidRPr="00F945E0">
        <w:rPr>
          <w:rFonts w:cs="Times New Roman"/>
          <w:szCs w:val="28"/>
        </w:rPr>
        <w:t xml:space="preserve"> и отмеченны</w:t>
      </w:r>
      <w:r w:rsidRPr="00F945E0">
        <w:rPr>
          <w:rFonts w:cs="Times New Roman"/>
          <w:szCs w:val="28"/>
        </w:rPr>
        <w:t>х выше</w:t>
      </w:r>
      <w:r w:rsidR="00C8413A" w:rsidRPr="00F945E0">
        <w:rPr>
          <w:rFonts w:cs="Times New Roman"/>
          <w:szCs w:val="28"/>
        </w:rPr>
        <w:t xml:space="preserve"> новы</w:t>
      </w:r>
      <w:r w:rsidRPr="00F945E0">
        <w:rPr>
          <w:rFonts w:cs="Times New Roman"/>
          <w:szCs w:val="28"/>
        </w:rPr>
        <w:t>х</w:t>
      </w:r>
      <w:r w:rsidR="00C8413A" w:rsidRPr="00F945E0">
        <w:rPr>
          <w:rFonts w:cs="Times New Roman"/>
          <w:szCs w:val="28"/>
        </w:rPr>
        <w:t xml:space="preserve"> институт</w:t>
      </w:r>
      <w:r w:rsidRPr="00F945E0">
        <w:rPr>
          <w:rFonts w:cs="Times New Roman"/>
          <w:szCs w:val="28"/>
        </w:rPr>
        <w:t>ов</w:t>
      </w:r>
      <w:r w:rsidR="00C8413A" w:rsidRPr="00F945E0">
        <w:rPr>
          <w:rFonts w:cs="Times New Roman"/>
          <w:szCs w:val="28"/>
        </w:rPr>
        <w:t xml:space="preserve"> индикативного планирования как на федеральном, так и региональном уровн</w:t>
      </w:r>
      <w:r w:rsidR="008E3810" w:rsidRPr="00F945E0">
        <w:rPr>
          <w:rFonts w:cs="Times New Roman"/>
          <w:szCs w:val="28"/>
        </w:rPr>
        <w:t>е</w:t>
      </w:r>
      <w:r w:rsidR="00C8413A" w:rsidRPr="00F945E0">
        <w:rPr>
          <w:rFonts w:cs="Times New Roman"/>
          <w:szCs w:val="28"/>
        </w:rPr>
        <w:t xml:space="preserve">. </w:t>
      </w:r>
      <w:r w:rsidR="00347BBE" w:rsidRPr="00F945E0">
        <w:rPr>
          <w:rFonts w:cs="Times New Roman"/>
          <w:szCs w:val="28"/>
        </w:rPr>
        <w:t xml:space="preserve">Так, например, предлагается </w:t>
      </w:r>
      <w:r w:rsidRPr="00F945E0">
        <w:rPr>
          <w:rFonts w:cs="Times New Roman"/>
          <w:szCs w:val="28"/>
        </w:rPr>
        <w:t xml:space="preserve">на федеральном уровне </w:t>
      </w:r>
      <w:r w:rsidR="00347BBE" w:rsidRPr="00F945E0">
        <w:rPr>
          <w:rFonts w:cs="Times New Roman"/>
          <w:szCs w:val="28"/>
        </w:rPr>
        <w:t xml:space="preserve">создать координирующий орган при Правительстве России для достижения технологического суверенитета промышленности и проектный офис генеральных конструкторов в ТЭК при Минэнерго России для обеспечения импортонезависимости </w:t>
      </w:r>
      <w:r w:rsidR="00214974" w:rsidRPr="00F945E0">
        <w:rPr>
          <w:rFonts w:cs="Times New Roman"/>
          <w:szCs w:val="28"/>
        </w:rPr>
        <w:t>в ТЭК</w:t>
      </w:r>
      <w:r w:rsidR="00347BBE" w:rsidRPr="00F945E0">
        <w:rPr>
          <w:rFonts w:cs="Times New Roman"/>
          <w:szCs w:val="28"/>
        </w:rPr>
        <w:t xml:space="preserve"> и смежных отрасл</w:t>
      </w:r>
      <w:r w:rsidR="00214974" w:rsidRPr="00F945E0">
        <w:rPr>
          <w:rFonts w:cs="Times New Roman"/>
          <w:szCs w:val="28"/>
        </w:rPr>
        <w:t>ях</w:t>
      </w:r>
      <w:r w:rsidR="00347BBE" w:rsidRPr="00F945E0">
        <w:rPr>
          <w:rFonts w:cs="Times New Roman"/>
          <w:szCs w:val="28"/>
        </w:rPr>
        <w:t xml:space="preserve"> промышленности</w:t>
      </w:r>
      <w:r w:rsidR="00657E1B" w:rsidRPr="00F945E0">
        <w:rPr>
          <w:rFonts w:cs="Times New Roman"/>
          <w:szCs w:val="28"/>
        </w:rPr>
        <w:t xml:space="preserve"> </w:t>
      </w:r>
      <w:r w:rsidR="008E3810" w:rsidRPr="00F945E0">
        <w:rPr>
          <w:rFonts w:cs="Times New Roman"/>
          <w:szCs w:val="28"/>
        </w:rPr>
        <w:t>(</w:t>
      </w:r>
      <w:r w:rsidR="00657E1B" w:rsidRPr="00F945E0">
        <w:rPr>
          <w:rFonts w:cs="Times New Roman"/>
          <w:szCs w:val="28"/>
        </w:rPr>
        <w:t xml:space="preserve">Жданеев, </w:t>
      </w:r>
      <w:r w:rsidRPr="00F945E0">
        <w:rPr>
          <w:rFonts w:cs="Times New Roman"/>
          <w:szCs w:val="28"/>
        </w:rPr>
        <w:t>2022</w:t>
      </w:r>
      <w:r w:rsidR="008E3810" w:rsidRPr="00F945E0">
        <w:rPr>
          <w:rFonts w:cs="Times New Roman"/>
          <w:szCs w:val="28"/>
        </w:rPr>
        <w:t>)</w:t>
      </w:r>
      <w:r w:rsidR="00347BBE" w:rsidRPr="00F945E0">
        <w:rPr>
          <w:rFonts w:cs="Times New Roman"/>
          <w:szCs w:val="28"/>
        </w:rPr>
        <w:t>.</w:t>
      </w:r>
    </w:p>
    <w:p w14:paraId="560D7AC8" w14:textId="0069F4EA" w:rsidR="00E205F9" w:rsidRDefault="00C14D37" w:rsidP="00BF0721">
      <w:pPr>
        <w:rPr>
          <w:rFonts w:cs="Times New Roman"/>
          <w:szCs w:val="28"/>
        </w:rPr>
      </w:pPr>
      <w:r>
        <w:rPr>
          <w:rFonts w:cs="Times New Roman"/>
          <w:szCs w:val="28"/>
        </w:rPr>
        <w:t xml:space="preserve">Вместе с тем, представляется необходимым </w:t>
      </w:r>
      <w:r w:rsidR="00314CA5" w:rsidRPr="00445C9D">
        <w:rPr>
          <w:rFonts w:cs="Times New Roman"/>
          <w:szCs w:val="28"/>
        </w:rPr>
        <w:t>формирование</w:t>
      </w:r>
      <w:r w:rsidR="00214974">
        <w:rPr>
          <w:rFonts w:cs="Times New Roman"/>
          <w:szCs w:val="28"/>
        </w:rPr>
        <w:t xml:space="preserve"> и развитие</w:t>
      </w:r>
      <w:r w:rsidR="00314CA5" w:rsidRPr="00445C9D">
        <w:rPr>
          <w:rFonts w:cs="Times New Roman"/>
          <w:szCs w:val="28"/>
        </w:rPr>
        <w:t xml:space="preserve"> специальных институтов </w:t>
      </w:r>
      <w:r>
        <w:rPr>
          <w:rFonts w:cs="Times New Roman"/>
          <w:szCs w:val="28"/>
        </w:rPr>
        <w:t xml:space="preserve">индикативного планирования и </w:t>
      </w:r>
      <w:r w:rsidR="00314CA5" w:rsidRPr="00445C9D">
        <w:rPr>
          <w:rFonts w:cs="Times New Roman"/>
          <w:szCs w:val="28"/>
        </w:rPr>
        <w:t xml:space="preserve">на региональном уровне. Например, в </w:t>
      </w:r>
      <w:r w:rsidR="00445C9D" w:rsidRPr="00445C9D">
        <w:rPr>
          <w:rFonts w:cs="Times New Roman"/>
          <w:szCs w:val="28"/>
        </w:rPr>
        <w:t>Ямало-Ненецком автономном округе (</w:t>
      </w:r>
      <w:r w:rsidR="00314CA5" w:rsidRPr="00445C9D">
        <w:rPr>
          <w:rFonts w:cs="Times New Roman"/>
          <w:szCs w:val="28"/>
        </w:rPr>
        <w:t>ЯНАО</w:t>
      </w:r>
      <w:r w:rsidR="00445C9D" w:rsidRPr="00445C9D">
        <w:rPr>
          <w:rFonts w:cs="Times New Roman"/>
          <w:szCs w:val="28"/>
        </w:rPr>
        <w:t>)</w:t>
      </w:r>
      <w:r w:rsidR="00314CA5" w:rsidRPr="00445C9D">
        <w:rPr>
          <w:rFonts w:cs="Times New Roman"/>
          <w:szCs w:val="28"/>
        </w:rPr>
        <w:t xml:space="preserve"> </w:t>
      </w:r>
      <w:r w:rsidR="0020294A" w:rsidRPr="00445C9D">
        <w:rPr>
          <w:rFonts w:cs="Times New Roman"/>
          <w:szCs w:val="28"/>
        </w:rPr>
        <w:t xml:space="preserve">с 2017 года функционирует </w:t>
      </w:r>
      <w:r w:rsidR="00314CA5" w:rsidRPr="00445C9D">
        <w:rPr>
          <w:rFonts w:cs="Times New Roman"/>
          <w:szCs w:val="28"/>
        </w:rPr>
        <w:t>Экспертн</w:t>
      </w:r>
      <w:r w:rsidR="00991CD3" w:rsidRPr="00445C9D">
        <w:rPr>
          <w:rFonts w:cs="Times New Roman"/>
          <w:szCs w:val="28"/>
        </w:rPr>
        <w:t>ый</w:t>
      </w:r>
      <w:r w:rsidR="00314CA5" w:rsidRPr="00445C9D">
        <w:rPr>
          <w:rFonts w:cs="Times New Roman"/>
          <w:szCs w:val="28"/>
        </w:rPr>
        <w:t xml:space="preserve"> совет по природопользованию</w:t>
      </w:r>
      <w:r w:rsidR="00A64DDE" w:rsidRPr="00445C9D">
        <w:rPr>
          <w:rFonts w:cs="Times New Roman"/>
          <w:szCs w:val="28"/>
        </w:rPr>
        <w:t>.</w:t>
      </w:r>
      <w:r w:rsidR="00991CD3" w:rsidRPr="00445C9D">
        <w:rPr>
          <w:rStyle w:val="a7"/>
          <w:rFonts w:cs="Times New Roman"/>
          <w:szCs w:val="28"/>
        </w:rPr>
        <w:footnoteReference w:id="5"/>
      </w:r>
      <w:r w:rsidR="00991CD3" w:rsidRPr="00445C9D">
        <w:t xml:space="preserve"> </w:t>
      </w:r>
      <w:r w:rsidR="00B16C33" w:rsidRPr="00445C9D">
        <w:rPr>
          <w:rFonts w:cs="Times New Roman"/>
          <w:szCs w:val="28"/>
        </w:rPr>
        <w:t xml:space="preserve">Одна из его задач – </w:t>
      </w:r>
      <w:r>
        <w:rPr>
          <w:rFonts w:cs="Times New Roman"/>
          <w:szCs w:val="28"/>
        </w:rPr>
        <w:t xml:space="preserve">оценка и мониторинг направлений </w:t>
      </w:r>
      <w:r w:rsidR="00B16C33" w:rsidRPr="00445C9D">
        <w:rPr>
          <w:rFonts w:cs="Times New Roman"/>
          <w:szCs w:val="28"/>
        </w:rPr>
        <w:t xml:space="preserve"> развити</w:t>
      </w:r>
      <w:r>
        <w:rPr>
          <w:rFonts w:cs="Times New Roman"/>
          <w:szCs w:val="28"/>
        </w:rPr>
        <w:t>я</w:t>
      </w:r>
      <w:r w:rsidR="00B16C33" w:rsidRPr="00445C9D">
        <w:rPr>
          <w:rFonts w:cs="Times New Roman"/>
          <w:szCs w:val="28"/>
        </w:rPr>
        <w:t xml:space="preserve"> добычи нефти и газа на ближайшую и среднесрочную перспективу на основе соответствующих прогнозов </w:t>
      </w:r>
      <w:r w:rsidR="00445C9D" w:rsidRPr="00445C9D">
        <w:rPr>
          <w:rFonts w:cs="Times New Roman"/>
          <w:szCs w:val="28"/>
        </w:rPr>
        <w:t xml:space="preserve">местных </w:t>
      </w:r>
      <w:r w:rsidR="00B16C33" w:rsidRPr="00445C9D">
        <w:rPr>
          <w:rFonts w:cs="Times New Roman"/>
          <w:szCs w:val="28"/>
        </w:rPr>
        <w:t xml:space="preserve">нефтегазодобывающих компаний, </w:t>
      </w:r>
      <w:r w:rsidR="00445C9D" w:rsidRPr="00445C9D">
        <w:rPr>
          <w:rFonts w:cs="Times New Roman"/>
          <w:szCs w:val="28"/>
        </w:rPr>
        <w:t xml:space="preserve">в обязательном порядке </w:t>
      </w:r>
      <w:r w:rsidR="00B16C33" w:rsidRPr="00445C9D">
        <w:rPr>
          <w:rFonts w:cs="Times New Roman"/>
          <w:szCs w:val="28"/>
        </w:rPr>
        <w:t xml:space="preserve">участвующих в заседаниях совета. </w:t>
      </w:r>
    </w:p>
    <w:p w14:paraId="63B11720" w14:textId="74B90BF5" w:rsidR="00C8413A" w:rsidRPr="00445C9D" w:rsidRDefault="00B16C33" w:rsidP="00BF0721">
      <w:pPr>
        <w:rPr>
          <w:rFonts w:cs="Times New Roman"/>
          <w:szCs w:val="28"/>
        </w:rPr>
      </w:pPr>
      <w:r w:rsidRPr="00445C9D">
        <w:rPr>
          <w:rFonts w:cs="Times New Roman"/>
          <w:szCs w:val="28"/>
        </w:rPr>
        <w:t xml:space="preserve">Но </w:t>
      </w:r>
      <w:r w:rsidR="00445C9D" w:rsidRPr="00445C9D">
        <w:rPr>
          <w:rFonts w:cs="Times New Roman"/>
          <w:szCs w:val="28"/>
        </w:rPr>
        <w:t xml:space="preserve">ситуация на региональном сервисном рынке, критически важном для выполнения соответствующих планов добычи, пока </w:t>
      </w:r>
      <w:r w:rsidR="004E250B">
        <w:rPr>
          <w:rFonts w:cs="Times New Roman"/>
          <w:szCs w:val="28"/>
        </w:rPr>
        <w:t>находит</w:t>
      </w:r>
      <w:r w:rsidR="00445C9D" w:rsidRPr="00445C9D">
        <w:rPr>
          <w:rFonts w:cs="Times New Roman"/>
          <w:szCs w:val="28"/>
        </w:rPr>
        <w:t>ся за кадром</w:t>
      </w:r>
      <w:r w:rsidR="00C14D37">
        <w:rPr>
          <w:rFonts w:cs="Times New Roman"/>
          <w:szCs w:val="28"/>
        </w:rPr>
        <w:t xml:space="preserve"> основного тренда формирования системы индикативного планирования</w:t>
      </w:r>
      <w:r w:rsidR="00445C9D" w:rsidRPr="00445C9D">
        <w:rPr>
          <w:rFonts w:cs="Times New Roman"/>
          <w:szCs w:val="28"/>
        </w:rPr>
        <w:t xml:space="preserve">. </w:t>
      </w:r>
      <w:r w:rsidR="00C14D37">
        <w:rPr>
          <w:rFonts w:cs="Times New Roman"/>
          <w:szCs w:val="28"/>
        </w:rPr>
        <w:t xml:space="preserve">В частности, </w:t>
      </w:r>
      <w:r w:rsidR="00BF0721" w:rsidRPr="00445C9D">
        <w:rPr>
          <w:rFonts w:cs="Times New Roman"/>
          <w:szCs w:val="28"/>
        </w:rPr>
        <w:t>актуал</w:t>
      </w:r>
      <w:r w:rsidR="00C14D37">
        <w:rPr>
          <w:rFonts w:cs="Times New Roman"/>
          <w:szCs w:val="28"/>
        </w:rPr>
        <w:t xml:space="preserve">изация основных тенденций невозможна без </w:t>
      </w:r>
      <w:r w:rsidR="00445C9D" w:rsidRPr="00445C9D">
        <w:rPr>
          <w:rFonts w:cs="Times New Roman"/>
          <w:szCs w:val="28"/>
        </w:rPr>
        <w:t>участи</w:t>
      </w:r>
      <w:r w:rsidR="00C14D37">
        <w:rPr>
          <w:rFonts w:cs="Times New Roman"/>
          <w:szCs w:val="28"/>
        </w:rPr>
        <w:t>я</w:t>
      </w:r>
      <w:r w:rsidR="00445C9D" w:rsidRPr="00445C9D">
        <w:rPr>
          <w:rFonts w:cs="Times New Roman"/>
          <w:szCs w:val="28"/>
        </w:rPr>
        <w:t xml:space="preserve"> в работе совета предприятий </w:t>
      </w:r>
      <w:r w:rsidR="00BF0721" w:rsidRPr="00445C9D">
        <w:rPr>
          <w:rFonts w:cs="Times New Roman"/>
          <w:szCs w:val="28"/>
        </w:rPr>
        <w:t>нефтегазового сервиса</w:t>
      </w:r>
      <w:r w:rsidR="00445C9D" w:rsidRPr="00445C9D">
        <w:rPr>
          <w:rFonts w:cs="Times New Roman"/>
          <w:szCs w:val="28"/>
        </w:rPr>
        <w:t xml:space="preserve">. </w:t>
      </w:r>
      <w:r w:rsidR="00BF0721" w:rsidRPr="00445C9D">
        <w:rPr>
          <w:rFonts w:cs="Times New Roman"/>
          <w:szCs w:val="28"/>
        </w:rPr>
        <w:t>Такой</w:t>
      </w:r>
      <w:r w:rsidR="00A64DDE" w:rsidRPr="00445C9D">
        <w:rPr>
          <w:rFonts w:cs="Times New Roman"/>
          <w:szCs w:val="28"/>
        </w:rPr>
        <w:t xml:space="preserve"> </w:t>
      </w:r>
      <w:r w:rsidR="00445C9D" w:rsidRPr="00445C9D">
        <w:rPr>
          <w:rFonts w:cs="Times New Roman"/>
          <w:szCs w:val="28"/>
        </w:rPr>
        <w:t>р</w:t>
      </w:r>
      <w:r w:rsidR="00A64DDE" w:rsidRPr="00445C9D">
        <w:rPr>
          <w:rFonts w:cs="Times New Roman"/>
          <w:szCs w:val="28"/>
        </w:rPr>
        <w:t>асширенный</w:t>
      </w:r>
      <w:r w:rsidR="00BF0721" w:rsidRPr="00445C9D">
        <w:rPr>
          <w:rFonts w:cs="Times New Roman"/>
          <w:szCs w:val="28"/>
        </w:rPr>
        <w:t xml:space="preserve"> </w:t>
      </w:r>
      <w:r w:rsidR="00445C9D" w:rsidRPr="00445C9D">
        <w:rPr>
          <w:rFonts w:cs="Times New Roman"/>
          <w:szCs w:val="28"/>
        </w:rPr>
        <w:t>Э</w:t>
      </w:r>
      <w:r w:rsidR="00BF0721" w:rsidRPr="00445C9D">
        <w:rPr>
          <w:rFonts w:cs="Times New Roman"/>
          <w:szCs w:val="28"/>
        </w:rPr>
        <w:t xml:space="preserve">кспертный совет регионального уровня может стать важным инструментом индикативного планирования применительно к </w:t>
      </w:r>
      <w:r w:rsidR="00C14D37">
        <w:rPr>
          <w:rFonts w:cs="Times New Roman"/>
          <w:szCs w:val="28"/>
        </w:rPr>
        <w:t>лока</w:t>
      </w:r>
      <w:r w:rsidR="003A31D4">
        <w:rPr>
          <w:rFonts w:cs="Times New Roman"/>
          <w:szCs w:val="28"/>
        </w:rPr>
        <w:t>л</w:t>
      </w:r>
      <w:r w:rsidR="00C14D37">
        <w:rPr>
          <w:rFonts w:cs="Times New Roman"/>
          <w:szCs w:val="28"/>
        </w:rPr>
        <w:t>ьному</w:t>
      </w:r>
      <w:r w:rsidR="003A31D4">
        <w:rPr>
          <w:rFonts w:cs="Times New Roman"/>
          <w:szCs w:val="28"/>
        </w:rPr>
        <w:t xml:space="preserve"> </w:t>
      </w:r>
      <w:r w:rsidR="00BF0721" w:rsidRPr="00445C9D">
        <w:rPr>
          <w:rFonts w:cs="Times New Roman"/>
          <w:szCs w:val="28"/>
        </w:rPr>
        <w:t xml:space="preserve">сервисному рынку. Это </w:t>
      </w:r>
      <w:r w:rsidR="003A31D4">
        <w:rPr>
          <w:rFonts w:cs="Times New Roman"/>
          <w:szCs w:val="28"/>
        </w:rPr>
        <w:t xml:space="preserve">связано с </w:t>
      </w:r>
      <w:r w:rsidR="00BF0721" w:rsidRPr="00445C9D">
        <w:rPr>
          <w:rFonts w:cs="Times New Roman"/>
          <w:szCs w:val="28"/>
        </w:rPr>
        <w:t>тем, что планы нефтегазодобывающих компаний</w:t>
      </w:r>
      <w:r w:rsidR="00A64DDE" w:rsidRPr="00445C9D">
        <w:rPr>
          <w:rFonts w:cs="Times New Roman"/>
          <w:szCs w:val="28"/>
        </w:rPr>
        <w:t xml:space="preserve"> (в том числе по освоению ТРИЗ газа)</w:t>
      </w:r>
      <w:r w:rsidR="00BF0721" w:rsidRPr="00445C9D">
        <w:rPr>
          <w:rFonts w:cs="Times New Roman"/>
          <w:szCs w:val="28"/>
        </w:rPr>
        <w:t xml:space="preserve"> </w:t>
      </w:r>
      <w:r w:rsidR="00C14D37">
        <w:rPr>
          <w:rFonts w:cs="Times New Roman"/>
          <w:szCs w:val="28"/>
        </w:rPr>
        <w:t>в значительной мере определяются возможностями ведущих участников</w:t>
      </w:r>
      <w:r w:rsidR="00BF0721" w:rsidRPr="00445C9D">
        <w:rPr>
          <w:rFonts w:cs="Times New Roman"/>
          <w:szCs w:val="28"/>
        </w:rPr>
        <w:t xml:space="preserve"> </w:t>
      </w:r>
      <w:r w:rsidR="00146B21" w:rsidRPr="00445C9D">
        <w:rPr>
          <w:rFonts w:cs="Times New Roman"/>
          <w:szCs w:val="28"/>
        </w:rPr>
        <w:t xml:space="preserve">регионального </w:t>
      </w:r>
      <w:r w:rsidR="00BF0721" w:rsidRPr="00445C9D">
        <w:rPr>
          <w:rFonts w:cs="Times New Roman"/>
          <w:szCs w:val="28"/>
        </w:rPr>
        <w:t>сервисного рынка</w:t>
      </w:r>
      <w:r w:rsidR="00A64DDE" w:rsidRPr="00445C9D">
        <w:rPr>
          <w:rFonts w:cs="Times New Roman"/>
          <w:szCs w:val="28"/>
        </w:rPr>
        <w:t xml:space="preserve">, </w:t>
      </w:r>
      <w:r w:rsidR="00C14D37">
        <w:rPr>
          <w:rFonts w:cs="Times New Roman"/>
          <w:szCs w:val="28"/>
        </w:rPr>
        <w:t xml:space="preserve">которые имеют опыт и, что особенно важно, </w:t>
      </w:r>
      <w:r w:rsidR="003A31D4">
        <w:rPr>
          <w:rFonts w:cs="Times New Roman"/>
          <w:szCs w:val="28"/>
        </w:rPr>
        <w:t>знания и</w:t>
      </w:r>
      <w:r w:rsidR="00C14D37">
        <w:rPr>
          <w:rFonts w:cs="Times New Roman"/>
          <w:szCs w:val="28"/>
        </w:rPr>
        <w:t xml:space="preserve"> навыки </w:t>
      </w:r>
      <w:r w:rsidR="003A31D4">
        <w:rPr>
          <w:rFonts w:cs="Times New Roman"/>
          <w:szCs w:val="28"/>
        </w:rPr>
        <w:t xml:space="preserve">для </w:t>
      </w:r>
      <w:r w:rsidR="00C14D37">
        <w:rPr>
          <w:rFonts w:cs="Times New Roman"/>
          <w:szCs w:val="28"/>
        </w:rPr>
        <w:t xml:space="preserve">работы на </w:t>
      </w:r>
      <w:r w:rsidR="00214974">
        <w:rPr>
          <w:rFonts w:cs="Times New Roman"/>
          <w:szCs w:val="28"/>
        </w:rPr>
        <w:t>территории округа</w:t>
      </w:r>
      <w:r w:rsidR="00BF0721" w:rsidRPr="00445C9D">
        <w:rPr>
          <w:rFonts w:cs="Times New Roman"/>
          <w:szCs w:val="28"/>
        </w:rPr>
        <w:t>.</w:t>
      </w:r>
    </w:p>
    <w:p w14:paraId="79B5C8B2" w14:textId="08567486" w:rsidR="009E350D" w:rsidRPr="004E5D1A" w:rsidRDefault="00F115DA" w:rsidP="00115449">
      <w:pPr>
        <w:rPr>
          <w:rFonts w:cs="Times New Roman"/>
          <w:szCs w:val="28"/>
        </w:rPr>
      </w:pPr>
      <w:r w:rsidRPr="004E5D1A">
        <w:rPr>
          <w:rFonts w:cs="Times New Roman"/>
          <w:szCs w:val="28"/>
        </w:rPr>
        <w:t xml:space="preserve">Вызовы, стоящие перед отраслью, определяют необходимость </w:t>
      </w:r>
      <w:r w:rsidR="00314CA5" w:rsidRPr="004E5D1A">
        <w:rPr>
          <w:rFonts w:cs="Times New Roman"/>
          <w:szCs w:val="28"/>
        </w:rPr>
        <w:t xml:space="preserve">использования уже апробированных </w:t>
      </w:r>
      <w:r w:rsidR="00314CA5">
        <w:rPr>
          <w:rFonts w:cs="Times New Roman"/>
          <w:szCs w:val="28"/>
        </w:rPr>
        <w:t xml:space="preserve">и </w:t>
      </w:r>
      <w:r w:rsidRPr="004E5D1A">
        <w:rPr>
          <w:rFonts w:cs="Times New Roman"/>
          <w:szCs w:val="28"/>
        </w:rPr>
        <w:t xml:space="preserve">разработки новых </w:t>
      </w:r>
      <w:r w:rsidRPr="00F945E0">
        <w:rPr>
          <w:rFonts w:cs="Times New Roman"/>
          <w:bCs/>
          <w:szCs w:val="28"/>
        </w:rPr>
        <w:t>механизмов и инструментов индикативного планирования.</w:t>
      </w:r>
      <w:r w:rsidR="004E5D1A" w:rsidRPr="004E5D1A">
        <w:rPr>
          <w:rFonts w:cs="Times New Roman"/>
          <w:szCs w:val="28"/>
        </w:rPr>
        <w:t xml:space="preserve"> </w:t>
      </w:r>
      <w:r w:rsidRPr="004E5D1A">
        <w:rPr>
          <w:rFonts w:cs="Times New Roman"/>
          <w:szCs w:val="28"/>
        </w:rPr>
        <w:t xml:space="preserve">Ряд </w:t>
      </w:r>
      <w:r w:rsidR="00314CA5">
        <w:rPr>
          <w:rFonts w:cs="Times New Roman"/>
          <w:szCs w:val="28"/>
        </w:rPr>
        <w:t xml:space="preserve">таких </w:t>
      </w:r>
      <w:r w:rsidRPr="004E5D1A">
        <w:rPr>
          <w:rFonts w:cs="Times New Roman"/>
          <w:szCs w:val="28"/>
        </w:rPr>
        <w:t>м</w:t>
      </w:r>
      <w:r w:rsidR="009E350D" w:rsidRPr="004E5D1A">
        <w:rPr>
          <w:rFonts w:cs="Times New Roman"/>
          <w:szCs w:val="28"/>
        </w:rPr>
        <w:t>еханизм</w:t>
      </w:r>
      <w:r w:rsidRPr="004E5D1A">
        <w:rPr>
          <w:rFonts w:cs="Times New Roman"/>
          <w:szCs w:val="28"/>
        </w:rPr>
        <w:t>ов</w:t>
      </w:r>
      <w:r w:rsidR="009E350D" w:rsidRPr="004E5D1A">
        <w:rPr>
          <w:rFonts w:cs="Times New Roman"/>
          <w:szCs w:val="28"/>
        </w:rPr>
        <w:t xml:space="preserve"> для развития производства требуемого нефтегазового оборудования связан с подготовкой и реализацией соответствующих программ и </w:t>
      </w:r>
      <w:r w:rsidR="009E350D" w:rsidRPr="002D314E">
        <w:rPr>
          <w:rFonts w:cs="Times New Roman"/>
          <w:szCs w:val="28"/>
        </w:rPr>
        <w:t>дорожных карт</w:t>
      </w:r>
      <w:r w:rsidR="009E350D" w:rsidRPr="004E5D1A">
        <w:rPr>
          <w:rFonts w:cs="Times New Roman"/>
          <w:b/>
          <w:szCs w:val="28"/>
        </w:rPr>
        <w:t xml:space="preserve"> </w:t>
      </w:r>
      <w:r w:rsidR="009E350D" w:rsidRPr="004E5D1A">
        <w:rPr>
          <w:rFonts w:cs="Times New Roman"/>
          <w:szCs w:val="28"/>
        </w:rPr>
        <w:t xml:space="preserve">по их реализации. </w:t>
      </w:r>
      <w:r w:rsidRPr="004E5D1A">
        <w:rPr>
          <w:rFonts w:cs="Times New Roman"/>
          <w:szCs w:val="28"/>
        </w:rPr>
        <w:t>К таким документам в сфере производства СПГ следует отнести</w:t>
      </w:r>
      <w:r w:rsidR="00115449" w:rsidRPr="004E5D1A">
        <w:rPr>
          <w:rFonts w:cs="Times New Roman"/>
          <w:szCs w:val="28"/>
        </w:rPr>
        <w:t>, например,</w:t>
      </w:r>
      <w:r w:rsidRPr="004E5D1A">
        <w:rPr>
          <w:rFonts w:cs="Times New Roman"/>
          <w:szCs w:val="28"/>
        </w:rPr>
        <w:t xml:space="preserve"> </w:t>
      </w:r>
      <w:r w:rsidR="00115449" w:rsidRPr="004E5D1A">
        <w:rPr>
          <w:rFonts w:cs="Times New Roman"/>
          <w:szCs w:val="28"/>
        </w:rPr>
        <w:t>Д</w:t>
      </w:r>
      <w:r w:rsidR="00862B5B" w:rsidRPr="004E5D1A">
        <w:rPr>
          <w:rFonts w:cs="Times New Roman"/>
          <w:szCs w:val="28"/>
        </w:rPr>
        <w:t>олгосрочн</w:t>
      </w:r>
      <w:r w:rsidR="00115449" w:rsidRPr="004E5D1A">
        <w:rPr>
          <w:rFonts w:cs="Times New Roman"/>
          <w:szCs w:val="28"/>
        </w:rPr>
        <w:t>ую</w:t>
      </w:r>
      <w:r w:rsidR="00862B5B" w:rsidRPr="004E5D1A">
        <w:rPr>
          <w:rFonts w:cs="Times New Roman"/>
          <w:szCs w:val="28"/>
        </w:rPr>
        <w:t xml:space="preserve"> программ</w:t>
      </w:r>
      <w:r w:rsidR="00115449" w:rsidRPr="004E5D1A">
        <w:rPr>
          <w:rFonts w:cs="Times New Roman"/>
          <w:szCs w:val="28"/>
        </w:rPr>
        <w:t>у</w:t>
      </w:r>
      <w:r w:rsidR="00862B5B" w:rsidRPr="004E5D1A">
        <w:rPr>
          <w:rFonts w:cs="Times New Roman"/>
          <w:szCs w:val="28"/>
        </w:rPr>
        <w:t xml:space="preserve"> развития производства сжиженного природного газа в Российской Федерации </w:t>
      </w:r>
      <w:r w:rsidR="00115449" w:rsidRPr="004E5D1A">
        <w:rPr>
          <w:rFonts w:cs="Times New Roman"/>
          <w:szCs w:val="28"/>
        </w:rPr>
        <w:t xml:space="preserve">(утверждена распоряжением Правительства РФ от 16 </w:t>
      </w:r>
      <w:r w:rsidR="00115449" w:rsidRPr="004E5D1A">
        <w:rPr>
          <w:rFonts w:cs="Times New Roman"/>
          <w:szCs w:val="28"/>
        </w:rPr>
        <w:lastRenderedPageBreak/>
        <w:t xml:space="preserve">марта 2021 г. № 640-р). В 2021 году Минпромторг разработал программу «Прорыв на рынке СПГ» по локализации оборудования для СПГ-проектов в России до 2030 года стоимостью 127 млрд руб. Реализация этой программы должна </w:t>
      </w:r>
      <w:r w:rsidR="003A31D4">
        <w:rPr>
          <w:rFonts w:cs="Times New Roman"/>
          <w:szCs w:val="28"/>
        </w:rPr>
        <w:t>увеличить</w:t>
      </w:r>
      <w:r w:rsidR="00115449" w:rsidRPr="004E5D1A">
        <w:rPr>
          <w:rFonts w:cs="Times New Roman"/>
          <w:szCs w:val="28"/>
        </w:rPr>
        <w:t xml:space="preserve"> долю российского оборудования в СПГ-проектах до 40% </w:t>
      </w:r>
      <w:r w:rsidR="004E5D1A" w:rsidRPr="004E5D1A">
        <w:rPr>
          <w:rFonts w:cs="Times New Roman"/>
          <w:szCs w:val="28"/>
        </w:rPr>
        <w:t>в</w:t>
      </w:r>
      <w:r w:rsidR="00115449" w:rsidRPr="004E5D1A">
        <w:rPr>
          <w:rFonts w:cs="Times New Roman"/>
          <w:szCs w:val="28"/>
        </w:rPr>
        <w:t xml:space="preserve"> 2024 году, и до 80% – к 2030 году.</w:t>
      </w:r>
    </w:p>
    <w:p w14:paraId="72DD477B" w14:textId="4D30DE76" w:rsidR="001C4A3E" w:rsidRDefault="006D486C" w:rsidP="001C4A3E">
      <w:pPr>
        <w:rPr>
          <w:rFonts w:cs="Times New Roman"/>
          <w:szCs w:val="28"/>
        </w:rPr>
      </w:pPr>
      <w:r w:rsidRPr="004E5D1A">
        <w:rPr>
          <w:rFonts w:cs="Times New Roman"/>
          <w:szCs w:val="28"/>
        </w:rPr>
        <w:t>Одним из примеров</w:t>
      </w:r>
      <w:r w:rsidR="00314CA5">
        <w:rPr>
          <w:rFonts w:cs="Times New Roman"/>
          <w:szCs w:val="28"/>
        </w:rPr>
        <w:t xml:space="preserve"> программ, </w:t>
      </w:r>
      <w:r w:rsidR="00214974">
        <w:rPr>
          <w:rFonts w:cs="Times New Roman"/>
          <w:szCs w:val="28"/>
        </w:rPr>
        <w:t>ориентирова</w:t>
      </w:r>
      <w:r w:rsidR="00314CA5">
        <w:rPr>
          <w:rFonts w:cs="Times New Roman"/>
          <w:szCs w:val="28"/>
        </w:rPr>
        <w:t xml:space="preserve">нных </w:t>
      </w:r>
      <w:r w:rsidR="00214974">
        <w:rPr>
          <w:rFonts w:cs="Times New Roman"/>
          <w:szCs w:val="28"/>
        </w:rPr>
        <w:t>в том числе на</w:t>
      </w:r>
      <w:r w:rsidR="00314CA5">
        <w:rPr>
          <w:rFonts w:cs="Times New Roman"/>
          <w:szCs w:val="28"/>
        </w:rPr>
        <w:t xml:space="preserve"> добыч</w:t>
      </w:r>
      <w:r w:rsidR="00214974">
        <w:rPr>
          <w:rFonts w:cs="Times New Roman"/>
          <w:szCs w:val="28"/>
        </w:rPr>
        <w:t>у</w:t>
      </w:r>
      <w:r w:rsidR="00314CA5">
        <w:rPr>
          <w:rFonts w:cs="Times New Roman"/>
          <w:szCs w:val="28"/>
        </w:rPr>
        <w:t xml:space="preserve"> ТРИЗ, </w:t>
      </w:r>
      <w:r w:rsidRPr="004E5D1A">
        <w:rPr>
          <w:rFonts w:cs="Times New Roman"/>
          <w:szCs w:val="28"/>
        </w:rPr>
        <w:t xml:space="preserve">является программа «Оборудование для бурения и добычи на суше». </w:t>
      </w:r>
      <w:r w:rsidR="001C4A3E" w:rsidRPr="004E5D1A">
        <w:rPr>
          <w:rFonts w:cs="Times New Roman"/>
          <w:szCs w:val="28"/>
        </w:rPr>
        <w:t xml:space="preserve">Согласно паспорту </w:t>
      </w:r>
      <w:r w:rsidR="004E250B">
        <w:rPr>
          <w:rFonts w:cs="Times New Roman"/>
          <w:szCs w:val="28"/>
        </w:rPr>
        <w:t xml:space="preserve">ее </w:t>
      </w:r>
      <w:r w:rsidR="001C4A3E" w:rsidRPr="004E5D1A">
        <w:rPr>
          <w:rFonts w:cs="Times New Roman"/>
          <w:szCs w:val="28"/>
        </w:rPr>
        <w:t>дорожной карты (</w:t>
      </w:r>
      <w:r w:rsidR="00613C18">
        <w:rPr>
          <w:rFonts w:cs="Times New Roman"/>
          <w:szCs w:val="28"/>
        </w:rPr>
        <w:t>подготовлен</w:t>
      </w:r>
      <w:r w:rsidR="004E250B">
        <w:rPr>
          <w:rFonts w:cs="Times New Roman"/>
          <w:szCs w:val="28"/>
        </w:rPr>
        <w:t>а</w:t>
      </w:r>
      <w:r w:rsidR="001C4A3E" w:rsidRPr="004E5D1A">
        <w:rPr>
          <w:rFonts w:cs="Times New Roman"/>
          <w:szCs w:val="28"/>
        </w:rPr>
        <w:t xml:space="preserve"> Минпромторгом, Минэнерго, </w:t>
      </w:r>
      <w:r w:rsidR="003E77F3" w:rsidRPr="004E5D1A">
        <w:rPr>
          <w:rFonts w:cs="Times New Roman"/>
          <w:szCs w:val="28"/>
        </w:rPr>
        <w:t xml:space="preserve">ПАО </w:t>
      </w:r>
      <w:r w:rsidR="001C4A3E" w:rsidRPr="004E5D1A">
        <w:rPr>
          <w:rFonts w:cs="Times New Roman"/>
          <w:szCs w:val="28"/>
        </w:rPr>
        <w:t xml:space="preserve">«Газпром нефть»), инвестиции в разработку отечественного оборудования для бурения скважин и добычи нефти и газа на суше в 2023–2030 годах составят около 19,8 млрд руб. </w:t>
      </w:r>
      <w:r w:rsidR="00461571" w:rsidRPr="004E5D1A">
        <w:rPr>
          <w:rFonts w:cs="Times New Roman"/>
          <w:szCs w:val="28"/>
        </w:rPr>
        <w:t>Причем в основном это</w:t>
      </w:r>
      <w:r w:rsidR="001C4A3E" w:rsidRPr="004E5D1A">
        <w:rPr>
          <w:rFonts w:cs="Times New Roman"/>
          <w:szCs w:val="28"/>
        </w:rPr>
        <w:t xml:space="preserve"> внебюджетное финансирование.</w:t>
      </w:r>
      <w:r w:rsidR="003E77F3" w:rsidRPr="004E5D1A">
        <w:rPr>
          <w:rFonts w:cs="Times New Roman"/>
          <w:szCs w:val="28"/>
        </w:rPr>
        <w:t xml:space="preserve"> </w:t>
      </w:r>
      <w:r w:rsidR="00461571" w:rsidRPr="004E5D1A">
        <w:rPr>
          <w:rFonts w:cs="Times New Roman"/>
          <w:szCs w:val="28"/>
        </w:rPr>
        <w:t>Р</w:t>
      </w:r>
      <w:r w:rsidR="001C4A3E" w:rsidRPr="004E5D1A">
        <w:rPr>
          <w:rFonts w:cs="Times New Roman"/>
          <w:szCs w:val="28"/>
        </w:rPr>
        <w:t>азвити</w:t>
      </w:r>
      <w:r w:rsidR="00461571" w:rsidRPr="004E5D1A">
        <w:rPr>
          <w:rFonts w:cs="Times New Roman"/>
          <w:szCs w:val="28"/>
        </w:rPr>
        <w:t>е</w:t>
      </w:r>
      <w:r w:rsidR="001C4A3E" w:rsidRPr="004E5D1A">
        <w:rPr>
          <w:rFonts w:cs="Times New Roman"/>
          <w:szCs w:val="28"/>
        </w:rPr>
        <w:t xml:space="preserve"> технологий бурения </w:t>
      </w:r>
      <w:r w:rsidR="00461571" w:rsidRPr="004E5D1A">
        <w:rPr>
          <w:rFonts w:cs="Times New Roman"/>
          <w:szCs w:val="28"/>
        </w:rPr>
        <w:t>должно</w:t>
      </w:r>
      <w:r w:rsidR="001C4A3E" w:rsidRPr="004E5D1A">
        <w:rPr>
          <w:rFonts w:cs="Times New Roman"/>
          <w:szCs w:val="28"/>
        </w:rPr>
        <w:t xml:space="preserve"> обеспечить технологическую устойчивость, непрерывность бизнеса и снять </w:t>
      </w:r>
      <w:r w:rsidR="00461571" w:rsidRPr="004E5D1A">
        <w:rPr>
          <w:rFonts w:cs="Times New Roman"/>
          <w:szCs w:val="28"/>
        </w:rPr>
        <w:t xml:space="preserve">технологические </w:t>
      </w:r>
      <w:r w:rsidR="001C4A3E" w:rsidRPr="004E5D1A">
        <w:rPr>
          <w:rFonts w:cs="Times New Roman"/>
          <w:szCs w:val="28"/>
        </w:rPr>
        <w:t xml:space="preserve">риски для добычи нефтегазовых </w:t>
      </w:r>
      <w:r w:rsidR="00461571" w:rsidRPr="004E5D1A">
        <w:rPr>
          <w:rFonts w:cs="Times New Roman"/>
          <w:szCs w:val="28"/>
        </w:rPr>
        <w:t>ресурсов</w:t>
      </w:r>
      <w:r w:rsidR="001C4A3E" w:rsidRPr="004E5D1A">
        <w:rPr>
          <w:rFonts w:cs="Times New Roman"/>
          <w:szCs w:val="28"/>
        </w:rPr>
        <w:t>.</w:t>
      </w:r>
      <w:r w:rsidR="00461571" w:rsidRPr="004E5D1A">
        <w:rPr>
          <w:rFonts w:cs="Times New Roman"/>
          <w:szCs w:val="28"/>
        </w:rPr>
        <w:t xml:space="preserve"> При этом з</w:t>
      </w:r>
      <w:r w:rsidR="001C4A3E" w:rsidRPr="004E5D1A">
        <w:rPr>
          <w:rFonts w:cs="Times New Roman"/>
          <w:szCs w:val="28"/>
        </w:rPr>
        <w:t>адача нефт</w:t>
      </w:r>
      <w:r w:rsidR="00461571" w:rsidRPr="004E5D1A">
        <w:rPr>
          <w:rFonts w:cs="Times New Roman"/>
          <w:szCs w:val="28"/>
        </w:rPr>
        <w:t>егазов</w:t>
      </w:r>
      <w:r w:rsidR="001C4A3E" w:rsidRPr="004E5D1A">
        <w:rPr>
          <w:rFonts w:cs="Times New Roman"/>
          <w:szCs w:val="28"/>
        </w:rPr>
        <w:t>ых компаний – формировать отраслевой заказ на оборудование, разраб</w:t>
      </w:r>
      <w:r w:rsidR="006D6253">
        <w:rPr>
          <w:rFonts w:cs="Times New Roman"/>
          <w:szCs w:val="28"/>
        </w:rPr>
        <w:t>атываем</w:t>
      </w:r>
      <w:r w:rsidR="001C4A3E" w:rsidRPr="004E5D1A">
        <w:rPr>
          <w:rFonts w:cs="Times New Roman"/>
          <w:szCs w:val="28"/>
        </w:rPr>
        <w:t xml:space="preserve">ое в рамках дорожной карты, помогать разработчикам </w:t>
      </w:r>
      <w:r w:rsidR="00A271EE">
        <w:rPr>
          <w:rFonts w:cs="Times New Roman"/>
          <w:szCs w:val="28"/>
        </w:rPr>
        <w:t xml:space="preserve">в процессе реализации </w:t>
      </w:r>
      <w:r w:rsidR="00BF6FC4">
        <w:rPr>
          <w:rFonts w:cs="Times New Roman"/>
          <w:szCs w:val="28"/>
        </w:rPr>
        <w:t>соответствующих проектов</w:t>
      </w:r>
      <w:r w:rsidR="001C4A3E" w:rsidRPr="004E5D1A">
        <w:rPr>
          <w:rFonts w:cs="Times New Roman"/>
          <w:szCs w:val="28"/>
        </w:rPr>
        <w:t>.</w:t>
      </w:r>
      <w:r w:rsidR="00461571" w:rsidRPr="004E5D1A">
        <w:rPr>
          <w:rFonts w:cs="Times New Roman"/>
          <w:szCs w:val="28"/>
        </w:rPr>
        <w:t xml:space="preserve"> </w:t>
      </w:r>
      <w:r w:rsidR="001C4A3E" w:rsidRPr="004E5D1A">
        <w:rPr>
          <w:rFonts w:cs="Times New Roman"/>
          <w:szCs w:val="28"/>
        </w:rPr>
        <w:t xml:space="preserve">К 2030 году планируется провести 19 НИОКР по оборудованию и компонентам для бурения, добычи и внутрискважинных работ, а также заключить 19 долгосрочных договоров на поставку технологий. Это позволит повысить долю </w:t>
      </w:r>
      <w:r w:rsidR="006D6253">
        <w:rPr>
          <w:rFonts w:cs="Times New Roman"/>
          <w:szCs w:val="28"/>
        </w:rPr>
        <w:t>отечественного оборудования</w:t>
      </w:r>
      <w:r w:rsidR="001C4A3E" w:rsidRPr="004E5D1A">
        <w:rPr>
          <w:rFonts w:cs="Times New Roman"/>
          <w:szCs w:val="28"/>
        </w:rPr>
        <w:t xml:space="preserve"> до 80% по направлению «бурение и добыча».</w:t>
      </w:r>
      <w:r w:rsidR="00314CA5">
        <w:rPr>
          <w:rStyle w:val="a7"/>
          <w:rFonts w:cs="Times New Roman"/>
          <w:szCs w:val="28"/>
        </w:rPr>
        <w:footnoteReference w:id="6"/>
      </w:r>
    </w:p>
    <w:p w14:paraId="3B5202B2" w14:textId="0502B889" w:rsidR="006D6253" w:rsidRPr="004E5D1A" w:rsidRDefault="00AE7685" w:rsidP="006D6253">
      <w:pPr>
        <w:pStyle w:val="a3"/>
        <w:rPr>
          <w:iCs/>
        </w:rPr>
      </w:pPr>
      <w:r w:rsidRPr="004E5D1A">
        <w:rPr>
          <w:iCs/>
        </w:rPr>
        <w:t xml:space="preserve">Важным </w:t>
      </w:r>
      <w:r w:rsidR="00400ABA" w:rsidRPr="004E5D1A">
        <w:rPr>
          <w:iCs/>
        </w:rPr>
        <w:t xml:space="preserve">элементом </w:t>
      </w:r>
      <w:r w:rsidR="006D6253">
        <w:rPr>
          <w:iCs/>
        </w:rPr>
        <w:t>индикативного планирования</w:t>
      </w:r>
      <w:r w:rsidRPr="004E5D1A">
        <w:rPr>
          <w:iCs/>
        </w:rPr>
        <w:t xml:space="preserve"> </w:t>
      </w:r>
      <w:r w:rsidR="00214974">
        <w:rPr>
          <w:iCs/>
        </w:rPr>
        <w:t>в отрасли</w:t>
      </w:r>
      <w:r w:rsidR="00214974" w:rsidRPr="004E5D1A">
        <w:rPr>
          <w:iCs/>
        </w:rPr>
        <w:t xml:space="preserve"> </w:t>
      </w:r>
      <w:r w:rsidRPr="004E5D1A">
        <w:rPr>
          <w:iCs/>
        </w:rPr>
        <w:t>является</w:t>
      </w:r>
      <w:r w:rsidR="006D6253">
        <w:rPr>
          <w:iCs/>
        </w:rPr>
        <w:t xml:space="preserve"> прогноз отраслевого спроса</w:t>
      </w:r>
      <w:r w:rsidR="00613C18">
        <w:rPr>
          <w:iCs/>
        </w:rPr>
        <w:t xml:space="preserve"> на новую технику и технологии</w:t>
      </w:r>
      <w:r w:rsidR="006D6253">
        <w:rPr>
          <w:iCs/>
        </w:rPr>
        <w:t xml:space="preserve"> на основе</w:t>
      </w:r>
      <w:r w:rsidRPr="004E5D1A">
        <w:rPr>
          <w:iCs/>
        </w:rPr>
        <w:t xml:space="preserve"> </w:t>
      </w:r>
      <w:r w:rsidRPr="00F4095A">
        <w:rPr>
          <w:iCs/>
        </w:rPr>
        <w:t>консолидаци</w:t>
      </w:r>
      <w:r w:rsidR="006D6253" w:rsidRPr="00F4095A">
        <w:rPr>
          <w:iCs/>
        </w:rPr>
        <w:t>и</w:t>
      </w:r>
      <w:r w:rsidRPr="00F4095A">
        <w:rPr>
          <w:iCs/>
        </w:rPr>
        <w:t xml:space="preserve"> </w:t>
      </w:r>
      <w:r w:rsidR="006D6253">
        <w:rPr>
          <w:iCs/>
        </w:rPr>
        <w:t xml:space="preserve">потребностей </w:t>
      </w:r>
      <w:r w:rsidRPr="004E5D1A">
        <w:rPr>
          <w:iCs/>
        </w:rPr>
        <w:t xml:space="preserve">со стороны нефтегазовых компаний. </w:t>
      </w:r>
      <w:r w:rsidR="00400ABA" w:rsidRPr="004E5D1A">
        <w:rPr>
          <w:iCs/>
        </w:rPr>
        <w:t>По такой схеме</w:t>
      </w:r>
      <w:r w:rsidRPr="004E5D1A">
        <w:rPr>
          <w:iCs/>
        </w:rPr>
        <w:t xml:space="preserve"> </w:t>
      </w:r>
      <w:r w:rsidR="00345008">
        <w:rPr>
          <w:iCs/>
        </w:rPr>
        <w:t xml:space="preserve">в настоящее время </w:t>
      </w:r>
      <w:r w:rsidRPr="004E5D1A">
        <w:rPr>
          <w:iCs/>
        </w:rPr>
        <w:t>реализуется</w:t>
      </w:r>
      <w:r w:rsidR="00613C18">
        <w:rPr>
          <w:iCs/>
        </w:rPr>
        <w:t>, например,</w:t>
      </w:r>
      <w:r w:rsidRPr="004E5D1A">
        <w:rPr>
          <w:iCs/>
        </w:rPr>
        <w:t xml:space="preserve"> </w:t>
      </w:r>
      <w:r w:rsidRPr="00F945E0">
        <w:rPr>
          <w:iCs/>
        </w:rPr>
        <w:t xml:space="preserve">проект создания отечественного флота для гидравлического разрыва пласта (ГРП). </w:t>
      </w:r>
      <w:r w:rsidR="006D6253" w:rsidRPr="00F945E0">
        <w:rPr>
          <w:iCs/>
        </w:rPr>
        <w:t xml:space="preserve">ГРП является одним из ключевых методов повышения газо- и нефтеотдачи при </w:t>
      </w:r>
      <w:r w:rsidR="006D6253" w:rsidRPr="004E5D1A">
        <w:rPr>
          <w:iCs/>
        </w:rPr>
        <w:t>разработке ТРИЗ.</w:t>
      </w:r>
      <w:r w:rsidR="006D6253" w:rsidRPr="004E5D1A">
        <w:rPr>
          <w:rStyle w:val="a7"/>
          <w:iCs/>
        </w:rPr>
        <w:footnoteReference w:id="7"/>
      </w:r>
    </w:p>
    <w:p w14:paraId="25D50390" w14:textId="6CF7111F" w:rsidR="00AE7685" w:rsidRPr="004E5D1A" w:rsidRDefault="006D6253" w:rsidP="00C85DB6">
      <w:pPr>
        <w:pStyle w:val="a3"/>
        <w:rPr>
          <w:iCs/>
        </w:rPr>
      </w:pPr>
      <w:r w:rsidRPr="004E5D1A">
        <w:rPr>
          <w:iCs/>
        </w:rPr>
        <w:t xml:space="preserve">В настоящее время в России работает </w:t>
      </w:r>
      <w:r>
        <w:rPr>
          <w:iCs/>
        </w:rPr>
        <w:t>около</w:t>
      </w:r>
      <w:r w:rsidRPr="004E5D1A">
        <w:rPr>
          <w:iCs/>
        </w:rPr>
        <w:t xml:space="preserve"> 150 флотов ГРП, </w:t>
      </w:r>
      <w:r w:rsidR="00543CFF">
        <w:rPr>
          <w:iCs/>
        </w:rPr>
        <w:t xml:space="preserve">подавляющее большинство из которых </w:t>
      </w:r>
      <w:r w:rsidR="00345008">
        <w:rPr>
          <w:iCs/>
        </w:rPr>
        <w:t>зарубеж</w:t>
      </w:r>
      <w:r w:rsidRPr="004E5D1A">
        <w:rPr>
          <w:iCs/>
        </w:rPr>
        <w:t xml:space="preserve">ного производства и находятся в эксплуатации </w:t>
      </w:r>
      <w:r w:rsidR="00345008">
        <w:rPr>
          <w:iCs/>
        </w:rPr>
        <w:t>уже продолжительный</w:t>
      </w:r>
      <w:r w:rsidRPr="004E5D1A">
        <w:rPr>
          <w:iCs/>
        </w:rPr>
        <w:t xml:space="preserve"> </w:t>
      </w:r>
      <w:r w:rsidR="00345008">
        <w:rPr>
          <w:iCs/>
        </w:rPr>
        <w:t xml:space="preserve">период </w:t>
      </w:r>
      <w:r w:rsidRPr="004E5D1A">
        <w:rPr>
          <w:iCs/>
        </w:rPr>
        <w:t>врем</w:t>
      </w:r>
      <w:r w:rsidR="00345008">
        <w:rPr>
          <w:iCs/>
        </w:rPr>
        <w:t>ени</w:t>
      </w:r>
      <w:r w:rsidRPr="004E5D1A">
        <w:rPr>
          <w:iCs/>
        </w:rPr>
        <w:t xml:space="preserve">, что </w:t>
      </w:r>
      <w:r w:rsidR="00543CFF">
        <w:rPr>
          <w:iCs/>
        </w:rPr>
        <w:t xml:space="preserve">остро </w:t>
      </w:r>
      <w:r w:rsidRPr="004E5D1A">
        <w:rPr>
          <w:iCs/>
        </w:rPr>
        <w:t xml:space="preserve">ставит вопрос об их замене. </w:t>
      </w:r>
      <w:r w:rsidR="00AE7685" w:rsidRPr="004E5D1A">
        <w:rPr>
          <w:iCs/>
        </w:rPr>
        <w:t xml:space="preserve">Единое техническое задание на отечественный комплекс машин для увеличения </w:t>
      </w:r>
      <w:r w:rsidR="00AE7685" w:rsidRPr="00F945E0">
        <w:rPr>
          <w:iCs/>
          <w:color w:val="0000FF"/>
        </w:rPr>
        <w:t xml:space="preserve">нефтедобычи </w:t>
      </w:r>
      <w:r w:rsidR="00AE7685" w:rsidRPr="004E5D1A">
        <w:rPr>
          <w:iCs/>
        </w:rPr>
        <w:t xml:space="preserve">сформировали ведущие нефтегазовые компании. </w:t>
      </w:r>
      <w:r w:rsidR="00F4095A">
        <w:rPr>
          <w:iCs/>
        </w:rPr>
        <w:t xml:space="preserve">Разрабатываемый </w:t>
      </w:r>
      <w:r w:rsidR="00C0346B" w:rsidRPr="00C0346B">
        <w:rPr>
          <w:iCs/>
        </w:rPr>
        <w:t>в</w:t>
      </w:r>
      <w:r w:rsidR="00C0346B">
        <w:rPr>
          <w:iCs/>
        </w:rPr>
        <w:t xml:space="preserve"> России </w:t>
      </w:r>
      <w:r w:rsidR="00F4095A">
        <w:rPr>
          <w:iCs/>
        </w:rPr>
        <w:t>ф</w:t>
      </w:r>
      <w:r w:rsidR="00613C18" w:rsidRPr="004E5D1A">
        <w:rPr>
          <w:iCs/>
        </w:rPr>
        <w:t xml:space="preserve">лот ГРП включает 12 агрегатов, каждый из которых </w:t>
      </w:r>
      <w:r w:rsidR="00613C18" w:rsidRPr="004E5D1A">
        <w:rPr>
          <w:iCs/>
        </w:rPr>
        <w:lastRenderedPageBreak/>
        <w:t>размещен на собственном шасси.</w:t>
      </w:r>
      <w:r w:rsidR="00AE7685" w:rsidRPr="004E5D1A">
        <w:rPr>
          <w:rStyle w:val="a7"/>
          <w:iCs/>
        </w:rPr>
        <w:footnoteReference w:id="8"/>
      </w:r>
      <w:r w:rsidRPr="006D6253">
        <w:rPr>
          <w:iCs/>
        </w:rPr>
        <w:t xml:space="preserve"> </w:t>
      </w:r>
      <w:r w:rsidRPr="004E5D1A">
        <w:rPr>
          <w:iCs/>
        </w:rPr>
        <w:t>Поставка первого серийного образца отечественного флота ГРП намечена на 2025 г.</w:t>
      </w:r>
      <w:r w:rsidR="00571D58">
        <w:rPr>
          <w:iCs/>
        </w:rPr>
        <w:t xml:space="preserve"> </w:t>
      </w:r>
      <w:r w:rsidR="00571D58" w:rsidRPr="00571D58">
        <w:rPr>
          <w:iCs/>
        </w:rPr>
        <w:t>Общий объем рынка новых флотов ГРП до 2030 г. состав</w:t>
      </w:r>
      <w:r w:rsidR="00571D58">
        <w:rPr>
          <w:iCs/>
        </w:rPr>
        <w:t>ляет около</w:t>
      </w:r>
      <w:r w:rsidR="00571D58" w:rsidRPr="00571D58">
        <w:rPr>
          <w:iCs/>
        </w:rPr>
        <w:t xml:space="preserve"> 40 </w:t>
      </w:r>
      <w:r w:rsidR="00E205F9">
        <w:rPr>
          <w:iCs/>
        </w:rPr>
        <w:t>единиц</w:t>
      </w:r>
      <w:r w:rsidR="00571D58" w:rsidRPr="00571D58">
        <w:rPr>
          <w:iCs/>
        </w:rPr>
        <w:t xml:space="preserve"> </w:t>
      </w:r>
      <w:r w:rsidR="00571D58">
        <w:rPr>
          <w:iCs/>
        </w:rPr>
        <w:t xml:space="preserve">стоимостью </w:t>
      </w:r>
      <w:r w:rsidR="00571D58" w:rsidRPr="00571D58">
        <w:rPr>
          <w:iCs/>
        </w:rPr>
        <w:t>50 млрд руб.</w:t>
      </w:r>
    </w:p>
    <w:p w14:paraId="1045F48E" w14:textId="20FEC712" w:rsidR="00AE7685" w:rsidRDefault="00F4095A" w:rsidP="00C85DB6">
      <w:pPr>
        <w:pStyle w:val="a3"/>
        <w:rPr>
          <w:iCs/>
        </w:rPr>
      </w:pPr>
      <w:r w:rsidRPr="00756D17">
        <w:rPr>
          <w:iCs/>
        </w:rPr>
        <w:t xml:space="preserve">В кооперационных цепочках для разработки флота ГРП участвуют десятки предприятий и производственных площадок по всей стране, что </w:t>
      </w:r>
      <w:r w:rsidR="00543CFF">
        <w:rPr>
          <w:iCs/>
        </w:rPr>
        <w:t>обусловливает и остроту</w:t>
      </w:r>
      <w:r w:rsidR="007D7AC9">
        <w:rPr>
          <w:iCs/>
        </w:rPr>
        <w:t>,</w:t>
      </w:r>
      <w:r w:rsidR="00543CFF">
        <w:rPr>
          <w:iCs/>
        </w:rPr>
        <w:t xml:space="preserve"> и </w:t>
      </w:r>
      <w:r w:rsidR="003F5D76" w:rsidRPr="00756D17">
        <w:rPr>
          <w:iCs/>
        </w:rPr>
        <w:t xml:space="preserve">необходимость кооперации и тесного взаимодействия </w:t>
      </w:r>
      <w:r w:rsidR="00543CFF">
        <w:rPr>
          <w:iCs/>
        </w:rPr>
        <w:t xml:space="preserve">данных </w:t>
      </w:r>
      <w:r w:rsidR="003F5D76" w:rsidRPr="00756D17">
        <w:rPr>
          <w:iCs/>
        </w:rPr>
        <w:t xml:space="preserve">компаний и предприятий </w:t>
      </w:r>
      <w:r w:rsidR="003F5D76">
        <w:rPr>
          <w:iCs/>
        </w:rPr>
        <w:t xml:space="preserve">при производстве сложной техники. </w:t>
      </w:r>
      <w:r>
        <w:rPr>
          <w:iCs/>
        </w:rPr>
        <w:t xml:space="preserve">В этих условиях необходимо </w:t>
      </w:r>
      <w:r w:rsidR="00DC5323">
        <w:rPr>
          <w:iCs/>
        </w:rPr>
        <w:t>созд</w:t>
      </w:r>
      <w:r>
        <w:rPr>
          <w:iCs/>
        </w:rPr>
        <w:t xml:space="preserve">ание условий и механизмов для эффективного взаимодействия компаний, </w:t>
      </w:r>
      <w:r w:rsidR="00DC5323">
        <w:rPr>
          <w:iCs/>
        </w:rPr>
        <w:t xml:space="preserve">для </w:t>
      </w:r>
      <w:r>
        <w:rPr>
          <w:iCs/>
        </w:rPr>
        <w:t xml:space="preserve">формирования пространственно-распределенных цепочек создания </w:t>
      </w:r>
      <w:r w:rsidR="007D7AC9">
        <w:rPr>
          <w:iCs/>
        </w:rPr>
        <w:t xml:space="preserve">добавленной </w:t>
      </w:r>
      <w:r>
        <w:rPr>
          <w:iCs/>
        </w:rPr>
        <w:t>стоимости.</w:t>
      </w:r>
    </w:p>
    <w:p w14:paraId="6DEC8967" w14:textId="571F10C2" w:rsidR="000E3419" w:rsidRDefault="000E3419" w:rsidP="00C85DB6">
      <w:pPr>
        <w:pStyle w:val="a3"/>
        <w:rPr>
          <w:iCs/>
        </w:rPr>
      </w:pPr>
    </w:p>
    <w:p w14:paraId="28440258" w14:textId="1658910E" w:rsidR="00C85DB6" w:rsidRPr="00335F2C" w:rsidRDefault="00E96B4C" w:rsidP="00587FF3">
      <w:pPr>
        <w:pStyle w:val="1"/>
      </w:pPr>
      <w:bookmarkStart w:id="6" w:name="_Toc181868498"/>
      <w:r>
        <w:t>3</w:t>
      </w:r>
      <w:r w:rsidR="00787C61">
        <w:t>.</w:t>
      </w:r>
      <w:r w:rsidR="00587FF3">
        <w:t xml:space="preserve"> </w:t>
      </w:r>
      <w:r w:rsidR="00C85DB6">
        <w:t>Необходимость</w:t>
      </w:r>
      <w:r w:rsidR="00C85DB6" w:rsidRPr="00335F2C">
        <w:t xml:space="preserve"> кооперации при реализации высокотехнологичных проектов в газово</w:t>
      </w:r>
      <w:r w:rsidR="006400F3">
        <w:t>й отрасли</w:t>
      </w:r>
      <w:bookmarkEnd w:id="6"/>
    </w:p>
    <w:p w14:paraId="3ED756DC" w14:textId="77777777" w:rsidR="00ED4467" w:rsidRPr="00335F2C" w:rsidRDefault="00ED4467" w:rsidP="00ED4467">
      <w:pPr>
        <w:pStyle w:val="a3"/>
        <w:rPr>
          <w:iCs/>
        </w:rPr>
      </w:pPr>
      <w:r w:rsidRPr="00335F2C">
        <w:rPr>
          <w:iCs/>
        </w:rPr>
        <w:t xml:space="preserve">В современных условиях применительно к газовой промышленности существует целый ряд факторов и обстоятельств, определяющих целесообразность и необходимость кооперации усилий компаний при реализации отраслевых проектов. К </w:t>
      </w:r>
      <w:r w:rsidRPr="00C0346B">
        <w:rPr>
          <w:iCs/>
        </w:rPr>
        <w:t xml:space="preserve">таким факторам следует </w:t>
      </w:r>
      <w:r w:rsidRPr="00335F2C">
        <w:rPr>
          <w:iCs/>
        </w:rPr>
        <w:t>отнести:</w:t>
      </w:r>
    </w:p>
    <w:p w14:paraId="662C1441" w14:textId="5F7FD8D8" w:rsidR="00ED4467" w:rsidRPr="00335F2C" w:rsidRDefault="00ED4467" w:rsidP="00ED4467">
      <w:pPr>
        <w:pStyle w:val="a3"/>
        <w:rPr>
          <w:iCs/>
        </w:rPr>
      </w:pPr>
      <w:r w:rsidRPr="00335F2C">
        <w:rPr>
          <w:iCs/>
        </w:rPr>
        <w:t xml:space="preserve">– необходимость освоения ТРИЗ газа (прежде всего ачимовских и юрских отложений преимущественно в сложных климатических условиях), что требует разработки и применения инновационных технологий и </w:t>
      </w:r>
      <w:r w:rsidR="002170FC">
        <w:rPr>
          <w:iCs/>
        </w:rPr>
        <w:t xml:space="preserve">соответствующего </w:t>
      </w:r>
      <w:r w:rsidRPr="00335F2C">
        <w:rPr>
          <w:iCs/>
        </w:rPr>
        <w:t>оборудования;</w:t>
      </w:r>
    </w:p>
    <w:p w14:paraId="4411F5C1" w14:textId="77777777" w:rsidR="00ED4467" w:rsidRPr="00335F2C" w:rsidRDefault="00ED4467" w:rsidP="00ED4467">
      <w:pPr>
        <w:pStyle w:val="a3"/>
        <w:rPr>
          <w:iCs/>
        </w:rPr>
      </w:pPr>
      <w:r w:rsidRPr="00335F2C">
        <w:rPr>
          <w:iCs/>
        </w:rPr>
        <w:t xml:space="preserve">– реализацию </w:t>
      </w:r>
      <w:r>
        <w:rPr>
          <w:iCs/>
        </w:rPr>
        <w:t>нов</w:t>
      </w:r>
      <w:r w:rsidRPr="00335F2C">
        <w:rPr>
          <w:iCs/>
        </w:rPr>
        <w:t>ых проектов по производству СПГ на фоне жестких санкционных ограничений;</w:t>
      </w:r>
    </w:p>
    <w:p w14:paraId="000DB56C" w14:textId="77777777" w:rsidR="00ED4467" w:rsidRPr="00335F2C" w:rsidRDefault="00ED4467" w:rsidP="00ED4467">
      <w:pPr>
        <w:pStyle w:val="a3"/>
        <w:rPr>
          <w:iCs/>
        </w:rPr>
      </w:pPr>
      <w:r w:rsidRPr="00335F2C">
        <w:rPr>
          <w:iCs/>
        </w:rPr>
        <w:t>– необходимость ускоренного развития отечественных технологий (прежде всего, для добычи ТРИЗ и производства СПГ), что подразумевает, например, эффективность разработки и применения типовых решений, технологий и оборудования в жестких временных рамках для реализации СПГ-проектов (а не продвижение каждой компанией своих собственных разрозненных решений);</w:t>
      </w:r>
    </w:p>
    <w:p w14:paraId="28F5AE94" w14:textId="77777777" w:rsidR="00ED4467" w:rsidRPr="00335F2C" w:rsidRDefault="00ED4467" w:rsidP="00ED4467">
      <w:pPr>
        <w:pStyle w:val="a3"/>
        <w:rPr>
          <w:iCs/>
        </w:rPr>
      </w:pPr>
      <w:r w:rsidRPr="00335F2C">
        <w:rPr>
          <w:iCs/>
        </w:rPr>
        <w:t>– сложность в привлечении финансовых ресурсов, в том числе из-за санкционных ограничений.</w:t>
      </w:r>
    </w:p>
    <w:p w14:paraId="722B8C3A" w14:textId="12976D08" w:rsidR="00587FF3" w:rsidRPr="00F945E0" w:rsidRDefault="00587FF3" w:rsidP="00587FF3">
      <w:pPr>
        <w:pStyle w:val="a3"/>
        <w:rPr>
          <w:iCs/>
        </w:rPr>
      </w:pPr>
      <w:r w:rsidRPr="00B12E8C">
        <w:rPr>
          <w:iCs/>
        </w:rPr>
        <w:t>Повышение эффективности производства оборудования нефтегазового машиностроения</w:t>
      </w:r>
      <w:r>
        <w:rPr>
          <w:iCs/>
        </w:rPr>
        <w:t>,</w:t>
      </w:r>
      <w:r w:rsidRPr="00B12E8C">
        <w:rPr>
          <w:iCs/>
        </w:rPr>
        <w:t xml:space="preserve"> </w:t>
      </w:r>
      <w:r>
        <w:rPr>
          <w:iCs/>
        </w:rPr>
        <w:t xml:space="preserve">оказания высокотехнологичных услуг в </w:t>
      </w:r>
      <w:r w:rsidRPr="00B12E8C">
        <w:rPr>
          <w:iCs/>
        </w:rPr>
        <w:t xml:space="preserve">России </w:t>
      </w:r>
      <w:r w:rsidR="008D519B">
        <w:rPr>
          <w:iCs/>
        </w:rPr>
        <w:t xml:space="preserve">требует </w:t>
      </w:r>
      <w:r w:rsidRPr="00B12E8C">
        <w:rPr>
          <w:iCs/>
        </w:rPr>
        <w:t>использовани</w:t>
      </w:r>
      <w:r w:rsidR="008D519B">
        <w:rPr>
          <w:iCs/>
        </w:rPr>
        <w:t>я различных</w:t>
      </w:r>
      <w:r w:rsidRPr="00B12E8C">
        <w:rPr>
          <w:iCs/>
        </w:rPr>
        <w:t xml:space="preserve"> форм </w:t>
      </w:r>
      <w:r w:rsidR="008D519B">
        <w:rPr>
          <w:iCs/>
        </w:rPr>
        <w:t xml:space="preserve">кооперации и взаимодействия </w:t>
      </w:r>
      <w:r w:rsidR="00543CFF">
        <w:rPr>
          <w:iCs/>
        </w:rPr>
        <w:t xml:space="preserve">экономических агентов – </w:t>
      </w:r>
      <w:r w:rsidR="00ED4467">
        <w:rPr>
          <w:iCs/>
        </w:rPr>
        <w:t>акторов</w:t>
      </w:r>
      <w:r w:rsidRPr="00B12E8C">
        <w:rPr>
          <w:iCs/>
        </w:rPr>
        <w:t xml:space="preserve">, таких, например, как </w:t>
      </w:r>
      <w:r w:rsidR="00C0346B">
        <w:rPr>
          <w:iCs/>
        </w:rPr>
        <w:t>промышленно-</w:t>
      </w:r>
      <w:r w:rsidRPr="00B12E8C">
        <w:rPr>
          <w:iCs/>
        </w:rPr>
        <w:t xml:space="preserve">инновационные </w:t>
      </w:r>
      <w:r w:rsidRPr="00D925CA">
        <w:rPr>
          <w:iCs/>
        </w:rPr>
        <w:t>кластеры, технологические партнерства</w:t>
      </w:r>
      <w:r w:rsidR="00FB2873">
        <w:rPr>
          <w:iCs/>
        </w:rPr>
        <w:t>,</w:t>
      </w:r>
      <w:r w:rsidR="00FB2873" w:rsidRPr="00FB2873">
        <w:rPr>
          <w:iCs/>
        </w:rPr>
        <w:t xml:space="preserve"> </w:t>
      </w:r>
      <w:r w:rsidR="00FB2873">
        <w:rPr>
          <w:iCs/>
        </w:rPr>
        <w:t>мегапроекты</w:t>
      </w:r>
      <w:r w:rsidRPr="00D925CA">
        <w:rPr>
          <w:iCs/>
        </w:rPr>
        <w:t xml:space="preserve">. </w:t>
      </w:r>
      <w:r w:rsidRPr="00B12E8C">
        <w:rPr>
          <w:iCs/>
        </w:rPr>
        <w:t xml:space="preserve">Ядром, вокруг которого </w:t>
      </w:r>
      <w:r w:rsidR="00543CFF">
        <w:rPr>
          <w:iCs/>
        </w:rPr>
        <w:t xml:space="preserve">могут </w:t>
      </w:r>
      <w:r w:rsidRPr="00B12E8C">
        <w:rPr>
          <w:iCs/>
        </w:rPr>
        <w:t>выстраиваться успешные формы взаимодействия бизнеса, научно-</w:t>
      </w:r>
      <w:r w:rsidRPr="00F945E0">
        <w:rPr>
          <w:iCs/>
        </w:rPr>
        <w:lastRenderedPageBreak/>
        <w:t xml:space="preserve">образовательного комплекса и государства, </w:t>
      </w:r>
      <w:r w:rsidR="00543CFF" w:rsidRPr="00F945E0">
        <w:rPr>
          <w:iCs/>
        </w:rPr>
        <w:t xml:space="preserve">несомненно, </w:t>
      </w:r>
      <w:r w:rsidRPr="00F945E0">
        <w:rPr>
          <w:iCs/>
        </w:rPr>
        <w:t>являются технологии</w:t>
      </w:r>
      <w:r w:rsidR="0059368A" w:rsidRPr="00F945E0">
        <w:rPr>
          <w:iCs/>
        </w:rPr>
        <w:t xml:space="preserve"> </w:t>
      </w:r>
      <w:r w:rsidR="00ED4467" w:rsidRPr="00F945E0">
        <w:rPr>
          <w:iCs/>
        </w:rPr>
        <w:t>(</w:t>
      </w:r>
      <w:r w:rsidR="00ED4467" w:rsidRPr="00F945E0">
        <w:rPr>
          <w:lang w:val="en-US"/>
        </w:rPr>
        <w:t>Casta</w:t>
      </w:r>
      <w:r w:rsidR="00ED4467" w:rsidRPr="00F945E0">
        <w:t>ñ</w:t>
      </w:r>
      <w:r w:rsidR="00ED4467" w:rsidRPr="00F945E0">
        <w:rPr>
          <w:lang w:val="en-US"/>
        </w:rPr>
        <w:t>o</w:t>
      </w:r>
      <w:r w:rsidR="00ED4467" w:rsidRPr="00F945E0">
        <w:t xml:space="preserve">, </w:t>
      </w:r>
      <w:r w:rsidR="00ED4467" w:rsidRPr="00F945E0">
        <w:rPr>
          <w:lang w:val="en-US"/>
        </w:rPr>
        <w:t>Lufin</w:t>
      </w:r>
      <w:r w:rsidR="00ED4467" w:rsidRPr="00F945E0">
        <w:t xml:space="preserve">, </w:t>
      </w:r>
      <w:r w:rsidR="00ED4467" w:rsidRPr="00F945E0">
        <w:rPr>
          <w:lang w:val="en-US"/>
        </w:rPr>
        <w:t>Atienza</w:t>
      </w:r>
      <w:r w:rsidR="00ED4467" w:rsidRPr="00F945E0">
        <w:t>, 2019)</w:t>
      </w:r>
      <w:r w:rsidRPr="00F945E0">
        <w:rPr>
          <w:iCs/>
        </w:rPr>
        <w:t>.</w:t>
      </w:r>
    </w:p>
    <w:p w14:paraId="0BAF8E1A" w14:textId="6E427C91" w:rsidR="00587FF3" w:rsidRPr="00A842A9" w:rsidRDefault="00587FF3" w:rsidP="00587FF3">
      <w:pPr>
        <w:pStyle w:val="a3"/>
        <w:rPr>
          <w:iCs/>
          <w:szCs w:val="28"/>
        </w:rPr>
      </w:pPr>
      <w:r w:rsidRPr="00A842A9">
        <w:rPr>
          <w:iCs/>
          <w:szCs w:val="28"/>
        </w:rPr>
        <w:t xml:space="preserve">В настоящее время представляется необходимым, чтобы кооперация усилий компаний (в </w:t>
      </w:r>
      <w:r w:rsidR="00ED4467">
        <w:rPr>
          <w:iCs/>
          <w:szCs w:val="28"/>
        </w:rPr>
        <w:t>том числе</w:t>
      </w:r>
      <w:r w:rsidRPr="00A842A9">
        <w:rPr>
          <w:iCs/>
          <w:szCs w:val="28"/>
        </w:rPr>
        <w:t xml:space="preserve"> применительно к технологическим вызовам в газовой промышленности) происходила в рамках </w:t>
      </w:r>
      <w:r w:rsidR="00543CFF">
        <w:rPr>
          <w:iCs/>
          <w:szCs w:val="28"/>
        </w:rPr>
        <w:t xml:space="preserve">обобщенной </w:t>
      </w:r>
      <w:r w:rsidRPr="00A842A9">
        <w:rPr>
          <w:iCs/>
          <w:szCs w:val="28"/>
        </w:rPr>
        <w:t xml:space="preserve">государственной научно-технической политики, отвечающей на </w:t>
      </w:r>
      <w:r w:rsidR="00543CFF">
        <w:rPr>
          <w:iCs/>
          <w:szCs w:val="28"/>
        </w:rPr>
        <w:t xml:space="preserve">основные </w:t>
      </w:r>
      <w:r w:rsidRPr="00A842A9">
        <w:rPr>
          <w:iCs/>
          <w:szCs w:val="28"/>
        </w:rPr>
        <w:t>современные вызовы. Так согласно Концепции технологического развития России на период до 2030 г., новыми субъектами технологического развития должны стать, в том числе:</w:t>
      </w:r>
    </w:p>
    <w:p w14:paraId="68EB26D4" w14:textId="747F2FA0" w:rsidR="00587FF3" w:rsidRPr="00AD60D8" w:rsidRDefault="00587FF3" w:rsidP="00587FF3">
      <w:pPr>
        <w:pStyle w:val="a3"/>
        <w:rPr>
          <w:iCs/>
          <w:color w:val="0000FF"/>
          <w:szCs w:val="28"/>
        </w:rPr>
      </w:pPr>
      <w:r w:rsidRPr="00A842A9">
        <w:rPr>
          <w:iCs/>
          <w:szCs w:val="28"/>
        </w:rPr>
        <w:t xml:space="preserve">– объединения (технологические холдинги, партнерства), включающие образовательную, исследовательскую, конструкторскую и производственную базу, опытные производства. Такие объединения </w:t>
      </w:r>
      <w:r w:rsidR="003F5D76">
        <w:rPr>
          <w:iCs/>
          <w:szCs w:val="28"/>
        </w:rPr>
        <w:t>для</w:t>
      </w:r>
      <w:r w:rsidR="003F5D76" w:rsidRPr="00A842A9">
        <w:rPr>
          <w:iCs/>
          <w:szCs w:val="28"/>
        </w:rPr>
        <w:t xml:space="preserve"> создания высокотехнологичной продукции </w:t>
      </w:r>
      <w:r w:rsidRPr="00A842A9">
        <w:rPr>
          <w:iCs/>
          <w:szCs w:val="28"/>
        </w:rPr>
        <w:t xml:space="preserve">могут формироваться </w:t>
      </w:r>
      <w:r w:rsidRPr="00AD60D8">
        <w:rPr>
          <w:iCs/>
          <w:color w:val="0000FF"/>
          <w:szCs w:val="28"/>
        </w:rPr>
        <w:t>вокруг компаний-лидеров</w:t>
      </w:r>
      <w:r w:rsidR="0062535B" w:rsidRPr="00AD60D8">
        <w:rPr>
          <w:iCs/>
          <w:color w:val="0000FF"/>
          <w:szCs w:val="28"/>
        </w:rPr>
        <w:t>;</w:t>
      </w:r>
    </w:p>
    <w:p w14:paraId="203D7360" w14:textId="45B9C81A" w:rsidR="00587FF3" w:rsidRDefault="00587FF3" w:rsidP="00587FF3">
      <w:pPr>
        <w:pStyle w:val="a3"/>
        <w:rPr>
          <w:iCs/>
          <w:szCs w:val="28"/>
        </w:rPr>
      </w:pPr>
      <w:r w:rsidRPr="00A842A9">
        <w:rPr>
          <w:iCs/>
          <w:szCs w:val="28"/>
        </w:rPr>
        <w:t>– научно-образовательные структуры (исследовательские консорциумы), способные реализовывать крупномасштабные технологические проекты вплоть до разработки готовых к коммерциализации опытных образцов.</w:t>
      </w:r>
    </w:p>
    <w:p w14:paraId="21642F33" w14:textId="04DCA01D" w:rsidR="000F09B8" w:rsidRPr="00A842A9" w:rsidRDefault="000F09B8" w:rsidP="00587FF3">
      <w:pPr>
        <w:pStyle w:val="a3"/>
        <w:rPr>
          <w:iCs/>
          <w:szCs w:val="28"/>
        </w:rPr>
      </w:pPr>
      <w:r w:rsidRPr="00335F2C">
        <w:rPr>
          <w:iCs/>
        </w:rPr>
        <w:t xml:space="preserve">В рамках подходов, обозначенных в этом документе, необходимо развивать </w:t>
      </w:r>
      <w:r w:rsidR="00CE2C8F">
        <w:rPr>
          <w:iCs/>
        </w:rPr>
        <w:t xml:space="preserve">формы </w:t>
      </w:r>
      <w:r w:rsidRPr="00335F2C">
        <w:rPr>
          <w:iCs/>
        </w:rPr>
        <w:t>взаимодействи</w:t>
      </w:r>
      <w:r w:rsidR="00CE2C8F">
        <w:rPr>
          <w:iCs/>
        </w:rPr>
        <w:t>я</w:t>
      </w:r>
      <w:r w:rsidRPr="00335F2C">
        <w:rPr>
          <w:iCs/>
        </w:rPr>
        <w:t xml:space="preserve"> нефтегазовых компаний и их потенциальных партнеров </w:t>
      </w:r>
      <w:r>
        <w:rPr>
          <w:iCs/>
        </w:rPr>
        <w:t>при</w:t>
      </w:r>
      <w:r w:rsidRPr="00335F2C">
        <w:rPr>
          <w:iCs/>
        </w:rPr>
        <w:t xml:space="preserve"> добыче и производстве ВТ-газа. </w:t>
      </w:r>
      <w:r w:rsidR="00ED4467">
        <w:rPr>
          <w:iCs/>
        </w:rPr>
        <w:t>Требуется</w:t>
      </w:r>
      <w:r w:rsidRPr="00335F2C">
        <w:rPr>
          <w:iCs/>
        </w:rPr>
        <w:t xml:space="preserve"> практическая реализация положений этого документа применительно к добыче газа из ТРИЗ и производств</w:t>
      </w:r>
      <w:r>
        <w:rPr>
          <w:iCs/>
        </w:rPr>
        <w:t>у</w:t>
      </w:r>
      <w:r w:rsidRPr="00335F2C">
        <w:rPr>
          <w:iCs/>
        </w:rPr>
        <w:t xml:space="preserve"> СПГ, например, в рамках </w:t>
      </w:r>
      <w:r>
        <w:rPr>
          <w:iCs/>
        </w:rPr>
        <w:t xml:space="preserve">разработки </w:t>
      </w:r>
      <w:r w:rsidRPr="00335F2C">
        <w:rPr>
          <w:iCs/>
        </w:rPr>
        <w:t>соответствующих приоритетных сквозных технологий.</w:t>
      </w:r>
    </w:p>
    <w:p w14:paraId="0EA5EC59" w14:textId="132A40D4" w:rsidR="00C85DB6" w:rsidRPr="00F945E0" w:rsidRDefault="00C85DB6" w:rsidP="00C85DB6">
      <w:pPr>
        <w:pStyle w:val="a3"/>
        <w:rPr>
          <w:iCs/>
        </w:rPr>
      </w:pPr>
      <w:r w:rsidRPr="00335F2C">
        <w:rPr>
          <w:iCs/>
        </w:rPr>
        <w:t xml:space="preserve">В целом в мировом </w:t>
      </w:r>
      <w:r w:rsidR="00C0346B">
        <w:rPr>
          <w:iCs/>
        </w:rPr>
        <w:t>нефтегазовом секторе</w:t>
      </w:r>
      <w:r w:rsidRPr="00335F2C">
        <w:rPr>
          <w:iCs/>
        </w:rPr>
        <w:t xml:space="preserve"> уже продолжительное время наблюдается усиление кооперации, взаимодействия ключевых игроков при решении возникающих проблем, в том числе при разработке и применении новых технологий. Одной из форм такого взаимодействия являются технологические партнерства – форма кооперации, подразумевающая передачу технологий, обмен знаниями, ресурсами, распределение рисков для решения технологических задач, которые экономически целесообразно решать</w:t>
      </w:r>
      <w:r w:rsidR="003F5D76">
        <w:rPr>
          <w:iCs/>
        </w:rPr>
        <w:t>,</w:t>
      </w:r>
      <w:r w:rsidRPr="00335F2C">
        <w:rPr>
          <w:iCs/>
        </w:rPr>
        <w:t xml:space="preserve"> </w:t>
      </w:r>
      <w:r w:rsidR="003F5D76">
        <w:rPr>
          <w:iCs/>
        </w:rPr>
        <w:t>объединив усилия</w:t>
      </w:r>
      <w:r w:rsidRPr="00335F2C">
        <w:rPr>
          <w:iCs/>
        </w:rPr>
        <w:t xml:space="preserve">. Такие партнерства </w:t>
      </w:r>
      <w:r w:rsidRPr="00F945E0">
        <w:rPr>
          <w:iCs/>
        </w:rPr>
        <w:t>обычно создаются для преодоления внешних и внутренних вызовов для нефтегазовых компаний</w:t>
      </w:r>
      <w:r w:rsidR="00CE2C8F" w:rsidRPr="00F945E0">
        <w:rPr>
          <w:iCs/>
        </w:rPr>
        <w:t>,</w:t>
      </w:r>
      <w:r w:rsidRPr="00F945E0">
        <w:rPr>
          <w:iCs/>
        </w:rPr>
        <w:t xml:space="preserve"> например, </w:t>
      </w:r>
      <w:r w:rsidR="00CE2C8F" w:rsidRPr="00F945E0">
        <w:rPr>
          <w:iCs/>
        </w:rPr>
        <w:t xml:space="preserve">связанных с </w:t>
      </w:r>
      <w:r w:rsidRPr="00F945E0">
        <w:rPr>
          <w:iCs/>
        </w:rPr>
        <w:t>усложнение</w:t>
      </w:r>
      <w:r w:rsidR="00CE2C8F" w:rsidRPr="00F945E0">
        <w:rPr>
          <w:iCs/>
        </w:rPr>
        <w:t>м</w:t>
      </w:r>
      <w:r w:rsidRPr="00F945E0">
        <w:rPr>
          <w:iCs/>
        </w:rPr>
        <w:t xml:space="preserve"> ресурсной базы </w:t>
      </w:r>
      <w:r w:rsidR="00CE2C8F" w:rsidRPr="00F945E0">
        <w:rPr>
          <w:iCs/>
        </w:rPr>
        <w:t>(</w:t>
      </w:r>
      <w:r w:rsidR="00F963F1" w:rsidRPr="00F945E0">
        <w:rPr>
          <w:iCs/>
        </w:rPr>
        <w:t>Митрова, Грушевенко, 2018</w:t>
      </w:r>
      <w:r w:rsidR="00CE2C8F" w:rsidRPr="00F945E0">
        <w:rPr>
          <w:iCs/>
        </w:rPr>
        <w:t>)</w:t>
      </w:r>
      <w:r w:rsidRPr="00F945E0">
        <w:rPr>
          <w:iCs/>
        </w:rPr>
        <w:t>.</w:t>
      </w:r>
    </w:p>
    <w:p w14:paraId="2D6E641D" w14:textId="1B0C98E1" w:rsidR="00ED4467" w:rsidRPr="00481A50" w:rsidRDefault="00C85DB6" w:rsidP="00C85DB6">
      <w:pPr>
        <w:pStyle w:val="a3"/>
        <w:rPr>
          <w:iCs/>
          <w:color w:val="0000FF"/>
        </w:rPr>
      </w:pPr>
      <w:r w:rsidRPr="00F945E0">
        <w:rPr>
          <w:iCs/>
        </w:rPr>
        <w:t>Применительно к газовой промышленности (прежде всего, д</w:t>
      </w:r>
      <w:r w:rsidRPr="00335F2C">
        <w:rPr>
          <w:iCs/>
        </w:rPr>
        <w:t xml:space="preserve">обыче и производству ВТ-газа) к основным партнерам, которые </w:t>
      </w:r>
      <w:r w:rsidR="00543CFF">
        <w:rPr>
          <w:iCs/>
        </w:rPr>
        <w:t xml:space="preserve">призваны </w:t>
      </w:r>
      <w:r w:rsidRPr="00335F2C">
        <w:rPr>
          <w:iCs/>
        </w:rPr>
        <w:t xml:space="preserve">отвечать на </w:t>
      </w:r>
      <w:r>
        <w:rPr>
          <w:iCs/>
        </w:rPr>
        <w:t>возника</w:t>
      </w:r>
      <w:r w:rsidRPr="00335F2C">
        <w:rPr>
          <w:iCs/>
        </w:rPr>
        <w:t>ющие вызовы, следует отнести газодобывающие компании, нефтегазовый сервис, машиностроительные компании</w:t>
      </w:r>
      <w:r w:rsidR="00F963F1">
        <w:rPr>
          <w:iCs/>
        </w:rPr>
        <w:t>,</w:t>
      </w:r>
      <w:r w:rsidRPr="00335F2C">
        <w:rPr>
          <w:iCs/>
        </w:rPr>
        <w:t xml:space="preserve"> производител</w:t>
      </w:r>
      <w:r w:rsidR="00F963F1">
        <w:rPr>
          <w:iCs/>
        </w:rPr>
        <w:t xml:space="preserve">ей комплектующих </w:t>
      </w:r>
      <w:r w:rsidRPr="00335F2C">
        <w:rPr>
          <w:iCs/>
        </w:rPr>
        <w:t xml:space="preserve">и </w:t>
      </w:r>
      <w:r w:rsidR="00F963F1">
        <w:rPr>
          <w:iCs/>
        </w:rPr>
        <w:t>материалов</w:t>
      </w:r>
      <w:r w:rsidRPr="00335F2C">
        <w:rPr>
          <w:iCs/>
        </w:rPr>
        <w:t>, научно-образовательный комплекс.</w:t>
      </w:r>
      <w:r w:rsidR="00ED4467">
        <w:rPr>
          <w:iCs/>
        </w:rPr>
        <w:t xml:space="preserve"> </w:t>
      </w:r>
      <w:r w:rsidRPr="00335F2C">
        <w:rPr>
          <w:iCs/>
        </w:rPr>
        <w:t xml:space="preserve">К сожалению, до настоящего времени в российском нефтегазовом секторе </w:t>
      </w:r>
      <w:r w:rsidR="00543CFF">
        <w:rPr>
          <w:iCs/>
        </w:rPr>
        <w:t xml:space="preserve">число </w:t>
      </w:r>
      <w:r w:rsidRPr="00335F2C">
        <w:rPr>
          <w:iCs/>
        </w:rPr>
        <w:t xml:space="preserve">примеров успешного взаимодействия добывающих компаний </w:t>
      </w:r>
      <w:r w:rsidR="00543CFF">
        <w:rPr>
          <w:iCs/>
        </w:rPr>
        <w:t xml:space="preserve">при реализации проектов </w:t>
      </w:r>
      <w:r w:rsidRPr="00335F2C">
        <w:rPr>
          <w:iCs/>
        </w:rPr>
        <w:t xml:space="preserve">в научно-технической сфере очень </w:t>
      </w:r>
      <w:r w:rsidR="00543CFF">
        <w:rPr>
          <w:iCs/>
        </w:rPr>
        <w:t>невелико</w:t>
      </w:r>
      <w:r w:rsidRPr="00335F2C">
        <w:rPr>
          <w:iCs/>
        </w:rPr>
        <w:t xml:space="preserve">. </w:t>
      </w:r>
      <w:r w:rsidR="000864D9">
        <w:rPr>
          <w:iCs/>
        </w:rPr>
        <w:t>За</w:t>
      </w:r>
      <w:r w:rsidR="00BE2826">
        <w:rPr>
          <w:iCs/>
        </w:rPr>
        <w:t>м</w:t>
      </w:r>
      <w:r w:rsidR="000864D9">
        <w:rPr>
          <w:iCs/>
        </w:rPr>
        <w:t>етн</w:t>
      </w:r>
      <w:r w:rsidRPr="00335F2C">
        <w:rPr>
          <w:iCs/>
        </w:rPr>
        <w:t xml:space="preserve">о успешнее опыт кооперации усилий добывающих компаний и других игроков – машиностроительных компаний, нефтегазового сервиса, научно-образовательного комплекса. </w:t>
      </w:r>
      <w:r w:rsidR="00A92C9D" w:rsidRPr="00A92C9D">
        <w:rPr>
          <w:iCs/>
          <w:color w:val="0000FF"/>
        </w:rPr>
        <w:t xml:space="preserve">В этих условиях требуется на государственном </w:t>
      </w:r>
      <w:r w:rsidR="00A92C9D" w:rsidRPr="00A92C9D">
        <w:rPr>
          <w:iCs/>
          <w:color w:val="0000FF"/>
        </w:rPr>
        <w:lastRenderedPageBreak/>
        <w:t xml:space="preserve">уровне формирование механизмов, стимулирующих компании к взаимодействию и при этом эффективно распределяющих, с одной стороны, издержки и риски, а с другой </w:t>
      </w:r>
      <w:r w:rsidR="00AE3A0C">
        <w:rPr>
          <w:iCs/>
        </w:rPr>
        <w:t>–</w:t>
      </w:r>
      <w:r w:rsidR="00AE3A0C">
        <w:rPr>
          <w:iCs/>
        </w:rPr>
        <w:t xml:space="preserve"> </w:t>
      </w:r>
      <w:r w:rsidR="00A92C9D" w:rsidRPr="00A92C9D">
        <w:rPr>
          <w:iCs/>
          <w:color w:val="0000FF"/>
        </w:rPr>
        <w:t>получаемые выгоды и эффекты</w:t>
      </w:r>
      <w:r w:rsidR="00B62E69">
        <w:rPr>
          <w:iCs/>
          <w:color w:val="0000FF"/>
        </w:rPr>
        <w:t xml:space="preserve"> (</w:t>
      </w:r>
      <w:r w:rsidR="00224351" w:rsidRPr="00481A50">
        <w:rPr>
          <w:color w:val="0000FF"/>
          <w:szCs w:val="28"/>
        </w:rPr>
        <w:t>Конопляник</w:t>
      </w:r>
      <w:r w:rsidR="00B62E69" w:rsidRPr="00481A50">
        <w:rPr>
          <w:color w:val="0000FF"/>
        </w:rPr>
        <w:t>, 2023)</w:t>
      </w:r>
      <w:r w:rsidR="00A92C9D" w:rsidRPr="00481A50">
        <w:rPr>
          <w:iCs/>
          <w:color w:val="0000FF"/>
        </w:rPr>
        <w:t>.</w:t>
      </w:r>
    </w:p>
    <w:p w14:paraId="5B9B170F" w14:textId="71671D50" w:rsidR="00C85DB6" w:rsidRPr="00F945E0" w:rsidRDefault="00F945E0" w:rsidP="00C85DB6">
      <w:pPr>
        <w:pStyle w:val="a3"/>
        <w:rPr>
          <w:iCs/>
        </w:rPr>
      </w:pPr>
      <w:r w:rsidRPr="00F945E0">
        <w:rPr>
          <w:iCs/>
          <w:color w:val="0000FF"/>
        </w:rPr>
        <w:t>Г</w:t>
      </w:r>
      <w:r w:rsidR="00C85DB6" w:rsidRPr="00F945E0">
        <w:rPr>
          <w:iCs/>
          <w:color w:val="0000FF"/>
        </w:rPr>
        <w:t>осу</w:t>
      </w:r>
      <w:r w:rsidR="00C85DB6" w:rsidRPr="00335F2C">
        <w:rPr>
          <w:iCs/>
        </w:rPr>
        <w:t xml:space="preserve">дарственная политика по стимулированию кооперации усилий компаний при реализации высокотехнологичных проектов в газовом секторе имеет особенно важное значение в условиях современных технологических вызовов. Роль государства в этом случае состоит как в прямом участии в этих процессах (в том числе как инвестора), так и в создании благоприятных условий: формирование ясных стратегических ориентиров в развитии отрасли, законодательное и налоговое регулирование, снижение барьеров для входа в отрасль, создание механизмов сокращения рисков для сложных проектов, а также </w:t>
      </w:r>
      <w:r w:rsidR="00C85DB6" w:rsidRPr="00F945E0">
        <w:rPr>
          <w:iCs/>
        </w:rPr>
        <w:t xml:space="preserve">содействие в продвижении отечественных технологий и оборудования на </w:t>
      </w:r>
      <w:r w:rsidR="00974978" w:rsidRPr="00F945E0">
        <w:rPr>
          <w:iCs/>
        </w:rPr>
        <w:t>за</w:t>
      </w:r>
      <w:r w:rsidR="00C85DB6" w:rsidRPr="00F945E0">
        <w:rPr>
          <w:iCs/>
        </w:rPr>
        <w:t>рубежные рынки</w:t>
      </w:r>
      <w:r w:rsidR="00ED4467" w:rsidRPr="00F945E0">
        <w:rPr>
          <w:iCs/>
        </w:rPr>
        <w:t xml:space="preserve"> (Литвиненко и др., 2022)</w:t>
      </w:r>
      <w:r w:rsidR="00C85DB6" w:rsidRPr="00F945E0">
        <w:rPr>
          <w:iCs/>
        </w:rPr>
        <w:t>.</w:t>
      </w:r>
    </w:p>
    <w:p w14:paraId="5796BD48" w14:textId="25B6C0DC" w:rsidR="00587FF3" w:rsidRPr="00F945E0" w:rsidRDefault="000864D9" w:rsidP="00587FF3">
      <w:pPr>
        <w:pStyle w:val="a3"/>
        <w:rPr>
          <w:iCs/>
        </w:rPr>
      </w:pPr>
      <w:r w:rsidRPr="00F945E0">
        <w:rPr>
          <w:iCs/>
        </w:rPr>
        <w:t xml:space="preserve">Одной из форм </w:t>
      </w:r>
      <w:r w:rsidR="0062535B" w:rsidRPr="00F945E0">
        <w:rPr>
          <w:iCs/>
        </w:rPr>
        <w:t>пространственно-экономической организации хозяйствования</w:t>
      </w:r>
      <w:r w:rsidRPr="00F945E0">
        <w:rPr>
          <w:iCs/>
        </w:rPr>
        <w:t>, ориентирующ</w:t>
      </w:r>
      <w:r w:rsidR="00F963F1" w:rsidRPr="00F945E0">
        <w:rPr>
          <w:iCs/>
        </w:rPr>
        <w:t>е</w:t>
      </w:r>
      <w:r w:rsidRPr="00F945E0">
        <w:rPr>
          <w:iCs/>
        </w:rPr>
        <w:t xml:space="preserve">й компании на тесное взаимодействие, являются инновационно-промышленные кластеры. </w:t>
      </w:r>
      <w:r w:rsidR="00587FF3" w:rsidRPr="00F945E0">
        <w:rPr>
          <w:iCs/>
        </w:rPr>
        <w:t>Кластерные формы</w:t>
      </w:r>
      <w:r w:rsidR="00587FF3" w:rsidRPr="00F945E0">
        <w:rPr>
          <w:b/>
          <w:iCs/>
        </w:rPr>
        <w:t xml:space="preserve"> </w:t>
      </w:r>
      <w:r w:rsidR="00587FF3" w:rsidRPr="00F945E0">
        <w:rPr>
          <w:iCs/>
        </w:rPr>
        <w:t>позволяют сократить издержки за счет географической близости, способствующей расширению масштабов производства и снижению расходов за счет взаимодействия научно-технических центров, вузов, смежных производств</w:t>
      </w:r>
      <w:r w:rsidR="00ED4467" w:rsidRPr="00F945E0">
        <w:t xml:space="preserve"> </w:t>
      </w:r>
      <w:r w:rsidR="00BF2A1D" w:rsidRPr="00F945E0">
        <w:t>(</w:t>
      </w:r>
      <w:r w:rsidR="00ED4467" w:rsidRPr="00F945E0">
        <w:rPr>
          <w:lang w:val="en-US"/>
        </w:rPr>
        <w:t>Cooke</w:t>
      </w:r>
      <w:r w:rsidR="00BF2A1D" w:rsidRPr="00F945E0">
        <w:t>, 2002)</w:t>
      </w:r>
      <w:r w:rsidR="00587FF3" w:rsidRPr="00F945E0">
        <w:rPr>
          <w:iCs/>
        </w:rPr>
        <w:t xml:space="preserve">. Ключевая роль ресурсных кластеров состоит в формировании условий для развития поставщиков и сервисных компаний, </w:t>
      </w:r>
      <w:r w:rsidR="00AA0C54" w:rsidRPr="00F945E0">
        <w:rPr>
          <w:iCs/>
        </w:rPr>
        <w:t xml:space="preserve">их </w:t>
      </w:r>
      <w:r w:rsidR="00587FF3" w:rsidRPr="00F945E0">
        <w:rPr>
          <w:iCs/>
        </w:rPr>
        <w:t>тесно</w:t>
      </w:r>
      <w:r w:rsidR="00AA0C54" w:rsidRPr="00F945E0">
        <w:rPr>
          <w:iCs/>
        </w:rPr>
        <w:t>го</w:t>
      </w:r>
      <w:r w:rsidR="00587FF3" w:rsidRPr="00F945E0">
        <w:rPr>
          <w:iCs/>
        </w:rPr>
        <w:t xml:space="preserve"> взаимодейств</w:t>
      </w:r>
      <w:r w:rsidR="00AA0C54" w:rsidRPr="00F945E0">
        <w:rPr>
          <w:iCs/>
        </w:rPr>
        <w:t>ия</w:t>
      </w:r>
      <w:r w:rsidR="00587FF3" w:rsidRPr="00F945E0">
        <w:rPr>
          <w:iCs/>
        </w:rPr>
        <w:t xml:space="preserve"> между собой </w:t>
      </w:r>
      <w:r w:rsidR="00AA0C54" w:rsidRPr="00F945E0">
        <w:rPr>
          <w:iCs/>
        </w:rPr>
        <w:t>при</w:t>
      </w:r>
      <w:r w:rsidR="00587FF3" w:rsidRPr="00F945E0">
        <w:rPr>
          <w:iCs/>
        </w:rPr>
        <w:t xml:space="preserve"> генерации новых знаний и создани</w:t>
      </w:r>
      <w:r w:rsidR="00AA0C54" w:rsidRPr="00F945E0">
        <w:rPr>
          <w:iCs/>
        </w:rPr>
        <w:t>и</w:t>
      </w:r>
      <w:r w:rsidR="00587FF3" w:rsidRPr="00F945E0">
        <w:rPr>
          <w:iCs/>
        </w:rPr>
        <w:t xml:space="preserve"> нового оборудования и услуг для </w:t>
      </w:r>
      <w:r w:rsidR="00C0346B" w:rsidRPr="00F945E0">
        <w:rPr>
          <w:iCs/>
        </w:rPr>
        <w:t>нефтегазового сектора</w:t>
      </w:r>
      <w:r w:rsidR="00587FF3" w:rsidRPr="00F945E0">
        <w:rPr>
          <w:iCs/>
        </w:rPr>
        <w:t xml:space="preserve"> </w:t>
      </w:r>
      <w:r w:rsidR="00CE2C8F" w:rsidRPr="00F945E0">
        <w:rPr>
          <w:iCs/>
        </w:rPr>
        <w:t>(</w:t>
      </w:r>
      <w:r w:rsidR="00F963F1" w:rsidRPr="00F945E0">
        <w:rPr>
          <w:iCs/>
        </w:rPr>
        <w:t>Kryukov, Tokarev, 2023</w:t>
      </w:r>
      <w:r w:rsidR="00CE2C8F" w:rsidRPr="00F945E0">
        <w:rPr>
          <w:iCs/>
        </w:rPr>
        <w:t>)</w:t>
      </w:r>
      <w:r w:rsidR="00587FF3" w:rsidRPr="00F945E0">
        <w:rPr>
          <w:iCs/>
        </w:rPr>
        <w:t>.</w:t>
      </w:r>
    </w:p>
    <w:p w14:paraId="4CE85310" w14:textId="2689D6F1" w:rsidR="00587FF3" w:rsidRPr="00A842A9" w:rsidRDefault="00587FF3" w:rsidP="00587FF3">
      <w:pPr>
        <w:pStyle w:val="a3"/>
        <w:rPr>
          <w:iCs/>
          <w:szCs w:val="28"/>
        </w:rPr>
      </w:pPr>
      <w:r w:rsidRPr="00A842A9">
        <w:rPr>
          <w:iCs/>
          <w:szCs w:val="28"/>
        </w:rPr>
        <w:t xml:space="preserve">Развитие кластеров, географическая близость компаний имеют ключевое значение там, где локальные знания (например, об условиях залегания ТРИЗ, свойствах и особенностях добываемой </w:t>
      </w:r>
      <w:r w:rsidRPr="004D5951">
        <w:rPr>
          <w:iCs/>
          <w:szCs w:val="28"/>
        </w:rPr>
        <w:t xml:space="preserve">продукции) играют важную роль для развития инновационной деятельности </w:t>
      </w:r>
      <w:r w:rsidR="00CE2C8F" w:rsidRPr="004D5951">
        <w:rPr>
          <w:iCs/>
          <w:szCs w:val="28"/>
        </w:rPr>
        <w:t>(</w:t>
      </w:r>
      <w:r w:rsidR="00F963F1" w:rsidRPr="004D5951">
        <w:rPr>
          <w:lang w:val="en-US"/>
        </w:rPr>
        <w:t>Audretsch</w:t>
      </w:r>
      <w:r w:rsidR="00F963F1" w:rsidRPr="004D5951">
        <w:t>, 1996</w:t>
      </w:r>
      <w:r w:rsidR="00CE2C8F" w:rsidRPr="004D5951">
        <w:t>)</w:t>
      </w:r>
      <w:r w:rsidRPr="004D5951">
        <w:rPr>
          <w:iCs/>
          <w:szCs w:val="28"/>
        </w:rPr>
        <w:t xml:space="preserve">. При этом </w:t>
      </w:r>
      <w:r w:rsidR="00CE2C8F" w:rsidRPr="004D5951">
        <w:rPr>
          <w:iCs/>
          <w:szCs w:val="28"/>
        </w:rPr>
        <w:t>нефтегазовы</w:t>
      </w:r>
      <w:r w:rsidRPr="004D5951">
        <w:rPr>
          <w:iCs/>
          <w:szCs w:val="28"/>
        </w:rPr>
        <w:t>й сектор имеет свою специфику, в значительной степени связанную с зависимостью от стадий освоения ресурсов то</w:t>
      </w:r>
      <w:r w:rsidR="00E96B4C" w:rsidRPr="004D5951">
        <w:rPr>
          <w:iCs/>
          <w:szCs w:val="28"/>
        </w:rPr>
        <w:t>го</w:t>
      </w:r>
      <w:r w:rsidRPr="004D5951">
        <w:rPr>
          <w:iCs/>
          <w:szCs w:val="28"/>
        </w:rPr>
        <w:t xml:space="preserve"> или ино</w:t>
      </w:r>
      <w:r w:rsidR="00E96B4C" w:rsidRPr="004D5951">
        <w:rPr>
          <w:iCs/>
          <w:szCs w:val="28"/>
        </w:rPr>
        <w:t>го</w:t>
      </w:r>
      <w:r w:rsidRPr="004D5951">
        <w:rPr>
          <w:iCs/>
          <w:szCs w:val="28"/>
        </w:rPr>
        <w:t xml:space="preserve"> региона</w:t>
      </w:r>
      <w:r w:rsidR="00BF2A1D" w:rsidRPr="004D5951">
        <w:rPr>
          <w:iCs/>
          <w:szCs w:val="28"/>
        </w:rPr>
        <w:t xml:space="preserve"> </w:t>
      </w:r>
      <w:r w:rsidR="00CE2C8F" w:rsidRPr="004D5951">
        <w:rPr>
          <w:iCs/>
          <w:szCs w:val="28"/>
        </w:rPr>
        <w:t>(</w:t>
      </w:r>
      <w:r w:rsidR="00BF2A1D" w:rsidRPr="004D5951">
        <w:rPr>
          <w:iCs/>
        </w:rPr>
        <w:t>Kryukov, Tokarev, 2018</w:t>
      </w:r>
      <w:r w:rsidR="00CE2C8F" w:rsidRPr="004D5951">
        <w:rPr>
          <w:iCs/>
        </w:rPr>
        <w:t>)</w:t>
      </w:r>
      <w:r w:rsidRPr="004D5951">
        <w:rPr>
          <w:iCs/>
          <w:szCs w:val="28"/>
        </w:rPr>
        <w:t xml:space="preserve">. Например, освоение новых все более сложных запасов газа в ЯНАО требует ускоренной разработки и </w:t>
      </w:r>
      <w:r w:rsidRPr="00A842A9">
        <w:rPr>
          <w:iCs/>
          <w:szCs w:val="28"/>
        </w:rPr>
        <w:t>применения инновационных технологий</w:t>
      </w:r>
      <w:r w:rsidR="00543CFF">
        <w:rPr>
          <w:iCs/>
          <w:szCs w:val="28"/>
        </w:rPr>
        <w:t>, основанных на кооперации и разделе рисков нескольких участников подобных проектов</w:t>
      </w:r>
      <w:r w:rsidRPr="00A842A9">
        <w:rPr>
          <w:iCs/>
          <w:szCs w:val="28"/>
        </w:rPr>
        <w:t xml:space="preserve">. </w:t>
      </w:r>
    </w:p>
    <w:p w14:paraId="6A2CE547" w14:textId="3EFFF76B" w:rsidR="00AA0C54" w:rsidRPr="004D5951" w:rsidRDefault="00587FF3" w:rsidP="00AA0C54">
      <w:pPr>
        <w:pStyle w:val="a3"/>
        <w:rPr>
          <w:iCs/>
        </w:rPr>
      </w:pPr>
      <w:r w:rsidRPr="00B12E8C">
        <w:rPr>
          <w:iCs/>
        </w:rPr>
        <w:t xml:space="preserve">С точки зрения добычи ВТ-газа в ЯНАО (прежде всего, освоения ТРИЗ) представляется целесообразным выстраивание тесных связей газодобывающих компаний округа с компаниями машиностроительного и сервисного профиля, которые работают </w:t>
      </w:r>
      <w:r w:rsidR="00E96B4C">
        <w:rPr>
          <w:iCs/>
        </w:rPr>
        <w:t>в</w:t>
      </w:r>
      <w:r w:rsidRPr="00B12E8C">
        <w:rPr>
          <w:iCs/>
        </w:rPr>
        <w:t xml:space="preserve"> </w:t>
      </w:r>
      <w:r>
        <w:rPr>
          <w:iCs/>
        </w:rPr>
        <w:t xml:space="preserve">Западной Сибири, прежде всего, на юге </w:t>
      </w:r>
      <w:r w:rsidRPr="00B12E8C">
        <w:rPr>
          <w:iCs/>
        </w:rPr>
        <w:t xml:space="preserve">Тюменской области, в том числе в рамках </w:t>
      </w:r>
      <w:r>
        <w:rPr>
          <w:iCs/>
        </w:rPr>
        <w:t xml:space="preserve">уже </w:t>
      </w:r>
      <w:r w:rsidRPr="00B12E8C">
        <w:rPr>
          <w:iCs/>
        </w:rPr>
        <w:t>созданного Нефтегазового кластера</w:t>
      </w:r>
      <w:r w:rsidR="00620C37">
        <w:rPr>
          <w:iCs/>
        </w:rPr>
        <w:t>,</w:t>
      </w:r>
      <w:r w:rsidR="00620C37" w:rsidRPr="00620C37">
        <w:rPr>
          <w:iCs/>
        </w:rPr>
        <w:t xml:space="preserve"> </w:t>
      </w:r>
      <w:r w:rsidR="00CE2C8F">
        <w:rPr>
          <w:iCs/>
        </w:rPr>
        <w:t xml:space="preserve">который </w:t>
      </w:r>
      <w:r w:rsidR="00620C37" w:rsidRPr="00620C37">
        <w:rPr>
          <w:iCs/>
        </w:rPr>
        <w:t>объединя</w:t>
      </w:r>
      <w:r w:rsidR="00CE2C8F">
        <w:rPr>
          <w:iCs/>
        </w:rPr>
        <w:t>ет</w:t>
      </w:r>
      <w:r w:rsidR="00620C37" w:rsidRPr="00620C37">
        <w:rPr>
          <w:iCs/>
        </w:rPr>
        <w:t xml:space="preserve"> более </w:t>
      </w:r>
      <w:r w:rsidR="00620C37">
        <w:rPr>
          <w:iCs/>
        </w:rPr>
        <w:t>120</w:t>
      </w:r>
      <w:r w:rsidR="00620C37" w:rsidRPr="00620C37">
        <w:rPr>
          <w:iCs/>
        </w:rPr>
        <w:t xml:space="preserve"> предприятий</w:t>
      </w:r>
      <w:r w:rsidRPr="00B12E8C">
        <w:rPr>
          <w:iCs/>
        </w:rPr>
        <w:t>.</w:t>
      </w:r>
      <w:r>
        <w:rPr>
          <w:iCs/>
        </w:rPr>
        <w:t xml:space="preserve"> </w:t>
      </w:r>
      <w:r w:rsidRPr="00B12E8C">
        <w:rPr>
          <w:iCs/>
        </w:rPr>
        <w:t xml:space="preserve">Деятельность участников </w:t>
      </w:r>
      <w:r>
        <w:rPr>
          <w:iCs/>
        </w:rPr>
        <w:t xml:space="preserve">этого </w:t>
      </w:r>
      <w:r w:rsidRPr="00B12E8C">
        <w:rPr>
          <w:iCs/>
        </w:rPr>
        <w:t xml:space="preserve">кластера охватывает широкий спектр направлений, включая производство нефтегазового оборудования и комплектующих, нефтехимию, приборостроение, геологоразведку, научно-исследовательские и проектные работы, подготовку </w:t>
      </w:r>
      <w:r w:rsidRPr="00B12E8C">
        <w:rPr>
          <w:iCs/>
        </w:rPr>
        <w:lastRenderedPageBreak/>
        <w:t>кадров.</w:t>
      </w:r>
      <w:r w:rsidR="00620C37">
        <w:rPr>
          <w:iCs/>
        </w:rPr>
        <w:t xml:space="preserve"> </w:t>
      </w:r>
      <w:r w:rsidR="00AA0C54" w:rsidRPr="004D09F0">
        <w:rPr>
          <w:iCs/>
        </w:rPr>
        <w:t xml:space="preserve">Ассоциация </w:t>
      </w:r>
      <w:r w:rsidR="00AA0C54">
        <w:rPr>
          <w:iCs/>
        </w:rPr>
        <w:t>«</w:t>
      </w:r>
      <w:r w:rsidR="00AA0C54" w:rsidRPr="004D09F0">
        <w:rPr>
          <w:iCs/>
        </w:rPr>
        <w:t>Нефтегазовый кластер</w:t>
      </w:r>
      <w:r w:rsidR="00AA0C54">
        <w:rPr>
          <w:iCs/>
        </w:rPr>
        <w:t>» Тюменской области</w:t>
      </w:r>
      <w:r w:rsidR="00AA0C54" w:rsidRPr="004D09F0">
        <w:rPr>
          <w:iCs/>
        </w:rPr>
        <w:t xml:space="preserve"> активно </w:t>
      </w:r>
      <w:r w:rsidR="00AA0C54">
        <w:rPr>
          <w:iCs/>
        </w:rPr>
        <w:t>участвует</w:t>
      </w:r>
      <w:r w:rsidR="00AA0C54" w:rsidRPr="004D09F0">
        <w:rPr>
          <w:iCs/>
        </w:rPr>
        <w:t xml:space="preserve"> в реализаци</w:t>
      </w:r>
      <w:r w:rsidR="00AA0C54">
        <w:rPr>
          <w:iCs/>
        </w:rPr>
        <w:t>и</w:t>
      </w:r>
      <w:r w:rsidR="00AA0C54" w:rsidRPr="004D09F0">
        <w:rPr>
          <w:iCs/>
        </w:rPr>
        <w:t xml:space="preserve"> дорожной карты по импортозамещению оборудования для разведки и добычи углеводород</w:t>
      </w:r>
      <w:r w:rsidR="00620C37">
        <w:rPr>
          <w:iCs/>
        </w:rPr>
        <w:t>ного сырья</w:t>
      </w:r>
      <w:r w:rsidR="00AA0C54">
        <w:rPr>
          <w:iCs/>
        </w:rPr>
        <w:t>. Кластер</w:t>
      </w:r>
      <w:r w:rsidR="00AA0C54" w:rsidRPr="004D09F0">
        <w:rPr>
          <w:iCs/>
        </w:rPr>
        <w:t xml:space="preserve"> выступае</w:t>
      </w:r>
      <w:r w:rsidR="00AA0C54">
        <w:rPr>
          <w:iCs/>
        </w:rPr>
        <w:t>т</w:t>
      </w:r>
      <w:r w:rsidR="00AA0C54" w:rsidRPr="004D09F0">
        <w:rPr>
          <w:iCs/>
        </w:rPr>
        <w:t xml:space="preserve"> в этом процессе </w:t>
      </w:r>
      <w:r w:rsidR="00CE2C8F">
        <w:rPr>
          <w:iCs/>
        </w:rPr>
        <w:t xml:space="preserve">в качестве </w:t>
      </w:r>
      <w:r w:rsidR="00AA0C54" w:rsidRPr="004D09F0">
        <w:rPr>
          <w:iCs/>
        </w:rPr>
        <w:t>технологическ</w:t>
      </w:r>
      <w:r w:rsidR="00CE2C8F">
        <w:rPr>
          <w:iCs/>
        </w:rPr>
        <w:t>ого</w:t>
      </w:r>
      <w:r w:rsidR="00AA0C54" w:rsidRPr="004D09F0">
        <w:rPr>
          <w:iCs/>
        </w:rPr>
        <w:t xml:space="preserve"> брокер</w:t>
      </w:r>
      <w:r w:rsidR="00CE2C8F">
        <w:rPr>
          <w:iCs/>
        </w:rPr>
        <w:t>а</w:t>
      </w:r>
      <w:r w:rsidR="00AA0C54">
        <w:rPr>
          <w:iCs/>
        </w:rPr>
        <w:t>:</w:t>
      </w:r>
      <w:r w:rsidR="00AA0C54" w:rsidRPr="004D09F0">
        <w:rPr>
          <w:iCs/>
        </w:rPr>
        <w:t xml:space="preserve"> подбирае</w:t>
      </w:r>
      <w:r w:rsidR="00AA0C54">
        <w:rPr>
          <w:iCs/>
        </w:rPr>
        <w:t>т</w:t>
      </w:r>
      <w:r w:rsidR="00AA0C54" w:rsidRPr="004D09F0">
        <w:rPr>
          <w:iCs/>
        </w:rPr>
        <w:t xml:space="preserve"> под актуальные потребности нефтегазовых компаний российское оборудование и помогае</w:t>
      </w:r>
      <w:r w:rsidR="00E96B4C">
        <w:rPr>
          <w:iCs/>
        </w:rPr>
        <w:t>т</w:t>
      </w:r>
      <w:r w:rsidR="00AA0C54" w:rsidRPr="004D09F0">
        <w:rPr>
          <w:iCs/>
        </w:rPr>
        <w:t xml:space="preserve"> </w:t>
      </w:r>
      <w:r w:rsidR="00AA0C54" w:rsidRPr="004D5951">
        <w:rPr>
          <w:iCs/>
        </w:rPr>
        <w:t>выстраивать кооперационные цепочки для его серийного производства</w:t>
      </w:r>
      <w:r w:rsidR="002B1BB6" w:rsidRPr="004D5951">
        <w:rPr>
          <w:iCs/>
        </w:rPr>
        <w:t xml:space="preserve"> </w:t>
      </w:r>
      <w:r w:rsidR="00735D4D" w:rsidRPr="004D5951">
        <w:rPr>
          <w:iCs/>
        </w:rPr>
        <w:t>(</w:t>
      </w:r>
      <w:r w:rsidR="00620C37" w:rsidRPr="004D5951">
        <w:rPr>
          <w:iCs/>
        </w:rPr>
        <w:t>Васильев, 2024</w:t>
      </w:r>
      <w:r w:rsidR="00735D4D" w:rsidRPr="004D5951">
        <w:rPr>
          <w:iCs/>
        </w:rPr>
        <w:t>)</w:t>
      </w:r>
      <w:r w:rsidR="00AA0C54" w:rsidRPr="004D5951">
        <w:rPr>
          <w:iCs/>
        </w:rPr>
        <w:t>.</w:t>
      </w:r>
    </w:p>
    <w:p w14:paraId="02DC9B17" w14:textId="2F081168" w:rsidR="00BE2826" w:rsidRPr="00B12E8C" w:rsidRDefault="00543CFF" w:rsidP="00587FF3">
      <w:pPr>
        <w:pStyle w:val="a3"/>
        <w:rPr>
          <w:iCs/>
        </w:rPr>
      </w:pPr>
      <w:r>
        <w:rPr>
          <w:iCs/>
        </w:rPr>
        <w:t>О</w:t>
      </w:r>
      <w:r w:rsidR="00CE2C8F">
        <w:rPr>
          <w:iCs/>
        </w:rPr>
        <w:t>сновная</w:t>
      </w:r>
      <w:r w:rsidR="00620C37">
        <w:rPr>
          <w:iCs/>
        </w:rPr>
        <w:t xml:space="preserve"> </w:t>
      </w:r>
      <w:r>
        <w:rPr>
          <w:iCs/>
        </w:rPr>
        <w:t xml:space="preserve">цель </w:t>
      </w:r>
      <w:r w:rsidR="00620C37">
        <w:rPr>
          <w:iCs/>
        </w:rPr>
        <w:t>институт</w:t>
      </w:r>
      <w:r>
        <w:rPr>
          <w:iCs/>
        </w:rPr>
        <w:t>ов</w:t>
      </w:r>
      <w:r w:rsidR="00620C37">
        <w:rPr>
          <w:iCs/>
        </w:rPr>
        <w:t xml:space="preserve"> и механизм</w:t>
      </w:r>
      <w:r>
        <w:rPr>
          <w:iCs/>
        </w:rPr>
        <w:t xml:space="preserve">ов </w:t>
      </w:r>
      <w:r w:rsidR="00620C37">
        <w:rPr>
          <w:iCs/>
        </w:rPr>
        <w:t>индикативного планирования</w:t>
      </w:r>
      <w:r w:rsidR="00CE2C8F">
        <w:rPr>
          <w:iCs/>
        </w:rPr>
        <w:t xml:space="preserve"> в рассматриваемой сфере</w:t>
      </w:r>
      <w:r w:rsidR="00620C37">
        <w:rPr>
          <w:iCs/>
        </w:rPr>
        <w:t xml:space="preserve"> </w:t>
      </w:r>
      <w:r>
        <w:rPr>
          <w:iCs/>
        </w:rPr>
        <w:t xml:space="preserve">– задавать </w:t>
      </w:r>
      <w:r w:rsidR="00BF2A1D">
        <w:rPr>
          <w:iCs/>
        </w:rPr>
        <w:t>ясны</w:t>
      </w:r>
      <w:r w:rsidR="00CE2C8F">
        <w:rPr>
          <w:iCs/>
        </w:rPr>
        <w:t>е</w:t>
      </w:r>
      <w:r w:rsidR="00BF2A1D">
        <w:rPr>
          <w:iCs/>
        </w:rPr>
        <w:t xml:space="preserve"> и </w:t>
      </w:r>
      <w:r w:rsidR="00620C37">
        <w:rPr>
          <w:iCs/>
        </w:rPr>
        <w:t>четки</w:t>
      </w:r>
      <w:r w:rsidR="00CE2C8F">
        <w:rPr>
          <w:iCs/>
        </w:rPr>
        <w:t>е</w:t>
      </w:r>
      <w:r w:rsidR="00620C37">
        <w:rPr>
          <w:iCs/>
        </w:rPr>
        <w:t xml:space="preserve"> приоритет</w:t>
      </w:r>
      <w:r w:rsidR="00CE2C8F">
        <w:rPr>
          <w:iCs/>
        </w:rPr>
        <w:t xml:space="preserve">ы </w:t>
      </w:r>
      <w:r w:rsidR="00620C37">
        <w:rPr>
          <w:iCs/>
        </w:rPr>
        <w:t>и ориентир</w:t>
      </w:r>
      <w:r w:rsidR="00CE2C8F">
        <w:rPr>
          <w:iCs/>
        </w:rPr>
        <w:t>ы</w:t>
      </w:r>
      <w:r w:rsidR="00620C37">
        <w:rPr>
          <w:iCs/>
        </w:rPr>
        <w:t xml:space="preserve"> для поставщиков оборудования и услуг при производстве ВТ-газа. </w:t>
      </w:r>
      <w:r w:rsidR="00BF2A1D">
        <w:rPr>
          <w:iCs/>
        </w:rPr>
        <w:t>При этом о</w:t>
      </w:r>
      <w:r w:rsidR="00620C37">
        <w:rPr>
          <w:iCs/>
        </w:rPr>
        <w:t xml:space="preserve">своение и использование ресурсов ВТ-газа </w:t>
      </w:r>
      <w:r w:rsidR="00D3221C">
        <w:rPr>
          <w:iCs/>
        </w:rPr>
        <w:t xml:space="preserve">не может не быть связано с </w:t>
      </w:r>
      <w:r w:rsidR="00620C37">
        <w:rPr>
          <w:iCs/>
        </w:rPr>
        <w:t>достижение</w:t>
      </w:r>
      <w:r w:rsidR="00D3221C">
        <w:rPr>
          <w:iCs/>
        </w:rPr>
        <w:t>м</w:t>
      </w:r>
      <w:r w:rsidR="00620C37">
        <w:rPr>
          <w:iCs/>
        </w:rPr>
        <w:t xml:space="preserve"> значимых социально-экономических эффектов как на уровне страны, так и регионов, вовлеченных в эти процессы, прежде всего, тех территорий, где ведется добыча природного газа. </w:t>
      </w:r>
    </w:p>
    <w:p w14:paraId="2CE24012" w14:textId="77777777" w:rsidR="00C85DB6" w:rsidRDefault="00C85DB6" w:rsidP="00AF2910">
      <w:pPr>
        <w:pStyle w:val="a3"/>
        <w:rPr>
          <w:rFonts w:eastAsiaTheme="minorHAnsi" w:cstheme="minorBidi"/>
          <w:noProof/>
          <w:szCs w:val="22"/>
          <w:lang w:eastAsia="en-US"/>
        </w:rPr>
      </w:pPr>
    </w:p>
    <w:p w14:paraId="2A862CE8" w14:textId="42ED1274" w:rsidR="00C6528E" w:rsidRPr="00767129" w:rsidRDefault="005F5C4F" w:rsidP="0002024D">
      <w:pPr>
        <w:pStyle w:val="1"/>
        <w:rPr>
          <w:rFonts w:eastAsia="Arial Unicode MS"/>
        </w:rPr>
      </w:pPr>
      <w:bookmarkStart w:id="7" w:name="_Toc181868499"/>
      <w:r>
        <w:rPr>
          <w:rFonts w:eastAsia="Arial Unicode MS"/>
        </w:rPr>
        <w:t>4</w:t>
      </w:r>
      <w:r w:rsidR="00E266B9" w:rsidRPr="00767129">
        <w:rPr>
          <w:rFonts w:eastAsia="Arial Unicode MS"/>
        </w:rPr>
        <w:t xml:space="preserve">. </w:t>
      </w:r>
      <w:r w:rsidR="00547904">
        <w:rPr>
          <w:rFonts w:eastAsia="Arial Unicode MS"/>
        </w:rPr>
        <w:t>Оценка</w:t>
      </w:r>
      <w:r w:rsidR="00C6528E" w:rsidRPr="00767129">
        <w:rPr>
          <w:rFonts w:eastAsia="Arial Unicode MS"/>
        </w:rPr>
        <w:t xml:space="preserve"> </w:t>
      </w:r>
      <w:r w:rsidR="00B57F1F">
        <w:rPr>
          <w:rFonts w:eastAsia="Arial Unicode MS"/>
        </w:rPr>
        <w:t xml:space="preserve">налоговых </w:t>
      </w:r>
      <w:r w:rsidR="00C6528E" w:rsidRPr="00767129">
        <w:rPr>
          <w:rFonts w:eastAsia="Arial Unicode MS"/>
        </w:rPr>
        <w:t xml:space="preserve">условий освоения ресурсов </w:t>
      </w:r>
      <w:r w:rsidR="00CC71C7">
        <w:rPr>
          <w:rFonts w:eastAsia="Arial Unicode MS"/>
        </w:rPr>
        <w:t>ВТ-</w:t>
      </w:r>
      <w:r w:rsidR="00C6528E" w:rsidRPr="00767129">
        <w:rPr>
          <w:rFonts w:eastAsia="Arial Unicode MS"/>
        </w:rPr>
        <w:t xml:space="preserve">газа </w:t>
      </w:r>
      <w:r w:rsidR="00AB5C9A">
        <w:rPr>
          <w:rFonts w:eastAsia="Arial Unicode MS"/>
        </w:rPr>
        <w:t>в</w:t>
      </w:r>
      <w:r w:rsidR="00B57F1F">
        <w:rPr>
          <w:rFonts w:eastAsia="Arial Unicode MS"/>
        </w:rPr>
        <w:t xml:space="preserve"> </w:t>
      </w:r>
      <w:r w:rsidR="00C6528E" w:rsidRPr="00767129">
        <w:rPr>
          <w:rFonts w:eastAsia="Arial Unicode MS"/>
        </w:rPr>
        <w:t>ЯНАО</w:t>
      </w:r>
      <w:bookmarkEnd w:id="7"/>
    </w:p>
    <w:p w14:paraId="1053FFDD" w14:textId="3F154FAA" w:rsidR="00BF2809" w:rsidRPr="00E00B13" w:rsidRDefault="00BF2809" w:rsidP="00BF2809">
      <w:pPr>
        <w:pStyle w:val="a3"/>
        <w:rPr>
          <w:szCs w:val="28"/>
        </w:rPr>
      </w:pPr>
      <w:r w:rsidRPr="00E00B13">
        <w:rPr>
          <w:szCs w:val="28"/>
        </w:rPr>
        <w:t xml:space="preserve">Одним из </w:t>
      </w:r>
      <w:r w:rsidR="00C0346B">
        <w:rPr>
          <w:szCs w:val="28"/>
        </w:rPr>
        <w:t>серьезн</w:t>
      </w:r>
      <w:r w:rsidRPr="00E00B13">
        <w:rPr>
          <w:szCs w:val="28"/>
        </w:rPr>
        <w:t xml:space="preserve">ых </w:t>
      </w:r>
      <w:r w:rsidR="00AA0C54" w:rsidRPr="00E00B13">
        <w:rPr>
          <w:szCs w:val="28"/>
        </w:rPr>
        <w:t xml:space="preserve">барьеров для развития производства ВТ-газа являются высокие издержки, которые </w:t>
      </w:r>
      <w:r w:rsidR="00620C37">
        <w:rPr>
          <w:szCs w:val="28"/>
        </w:rPr>
        <w:t xml:space="preserve">в значительной степени </w:t>
      </w:r>
      <w:r w:rsidR="00AA0C54" w:rsidRPr="00E00B13">
        <w:rPr>
          <w:szCs w:val="28"/>
        </w:rPr>
        <w:t>могут быть нивелированы инструментами</w:t>
      </w:r>
      <w:r w:rsidRPr="00E00B13">
        <w:rPr>
          <w:szCs w:val="28"/>
        </w:rPr>
        <w:t xml:space="preserve"> налогово</w:t>
      </w:r>
      <w:r w:rsidR="00AA0C54" w:rsidRPr="00E00B13">
        <w:rPr>
          <w:szCs w:val="28"/>
        </w:rPr>
        <w:t>го</w:t>
      </w:r>
      <w:r w:rsidRPr="00E00B13">
        <w:rPr>
          <w:szCs w:val="28"/>
        </w:rPr>
        <w:t xml:space="preserve"> </w:t>
      </w:r>
      <w:r w:rsidR="00596096" w:rsidRPr="00596096">
        <w:rPr>
          <w:color w:val="0000FF"/>
          <w:szCs w:val="28"/>
        </w:rPr>
        <w:t>стиму</w:t>
      </w:r>
      <w:r w:rsidRPr="00596096">
        <w:rPr>
          <w:color w:val="0000FF"/>
          <w:szCs w:val="28"/>
        </w:rPr>
        <w:t>лировани</w:t>
      </w:r>
      <w:r w:rsidR="00AA0C54" w:rsidRPr="00596096">
        <w:rPr>
          <w:color w:val="0000FF"/>
          <w:szCs w:val="28"/>
        </w:rPr>
        <w:t>я</w:t>
      </w:r>
      <w:r w:rsidRPr="00E00B13">
        <w:rPr>
          <w:szCs w:val="28"/>
        </w:rPr>
        <w:t xml:space="preserve"> газовой отрасли. Формирование условий, которые должны гибко балансировать интересы недропользователей и государства, является непростой задачей. Ее приходится с той или иной степенью успешности решать в любом сырьевом регионе и/или стране. </w:t>
      </w:r>
      <w:r w:rsidR="00BA64EE" w:rsidRPr="00E00B13">
        <w:rPr>
          <w:szCs w:val="28"/>
        </w:rPr>
        <w:t xml:space="preserve">Налоговое регулирование </w:t>
      </w:r>
      <w:r w:rsidR="00E00B13" w:rsidRPr="00620C37">
        <w:rPr>
          <w:szCs w:val="28"/>
        </w:rPr>
        <w:t xml:space="preserve">(как </w:t>
      </w:r>
      <w:r w:rsidR="00581AA4">
        <w:rPr>
          <w:szCs w:val="28"/>
        </w:rPr>
        <w:t xml:space="preserve">важная составляющая </w:t>
      </w:r>
      <w:r w:rsidR="00E00B13" w:rsidRPr="00620C37">
        <w:rPr>
          <w:szCs w:val="28"/>
        </w:rPr>
        <w:t xml:space="preserve">системы </w:t>
      </w:r>
      <w:r w:rsidR="00620C37" w:rsidRPr="00620C37">
        <w:rPr>
          <w:szCs w:val="28"/>
        </w:rPr>
        <w:t>индикативного планирования</w:t>
      </w:r>
      <w:r w:rsidR="00E00B13" w:rsidRPr="00620C37">
        <w:rPr>
          <w:szCs w:val="28"/>
        </w:rPr>
        <w:t>)</w:t>
      </w:r>
      <w:r w:rsidR="00E00B13" w:rsidRPr="00E00B13">
        <w:rPr>
          <w:szCs w:val="28"/>
        </w:rPr>
        <w:t xml:space="preserve"> </w:t>
      </w:r>
      <w:r w:rsidR="00066A0B">
        <w:rPr>
          <w:szCs w:val="28"/>
        </w:rPr>
        <w:t xml:space="preserve">должно </w:t>
      </w:r>
      <w:r w:rsidR="00581AA4">
        <w:rPr>
          <w:szCs w:val="28"/>
        </w:rPr>
        <w:t>являт</w:t>
      </w:r>
      <w:r w:rsidR="00066A0B">
        <w:rPr>
          <w:szCs w:val="28"/>
        </w:rPr>
        <w:t>ь</w:t>
      </w:r>
      <w:r w:rsidR="00581AA4">
        <w:rPr>
          <w:szCs w:val="28"/>
        </w:rPr>
        <w:t xml:space="preserve">ся инструментом </w:t>
      </w:r>
      <w:r w:rsidR="00BA64EE" w:rsidRPr="00E00B13">
        <w:rPr>
          <w:szCs w:val="28"/>
        </w:rPr>
        <w:t>ориент</w:t>
      </w:r>
      <w:r w:rsidR="00581AA4">
        <w:rPr>
          <w:szCs w:val="28"/>
        </w:rPr>
        <w:t xml:space="preserve">ации </w:t>
      </w:r>
      <w:r w:rsidR="00BA64EE" w:rsidRPr="00E00B13">
        <w:rPr>
          <w:szCs w:val="28"/>
        </w:rPr>
        <w:t>газовы</w:t>
      </w:r>
      <w:r w:rsidR="00581AA4">
        <w:rPr>
          <w:szCs w:val="28"/>
        </w:rPr>
        <w:t>х</w:t>
      </w:r>
      <w:r w:rsidR="00BA64EE" w:rsidRPr="00E00B13">
        <w:rPr>
          <w:szCs w:val="28"/>
        </w:rPr>
        <w:t xml:space="preserve"> компани</w:t>
      </w:r>
      <w:r w:rsidR="00581AA4">
        <w:rPr>
          <w:szCs w:val="28"/>
        </w:rPr>
        <w:t>й</w:t>
      </w:r>
      <w:r w:rsidR="00BA64EE" w:rsidRPr="00E00B13">
        <w:rPr>
          <w:szCs w:val="28"/>
        </w:rPr>
        <w:t xml:space="preserve"> на производство ВТ-газа.</w:t>
      </w:r>
    </w:p>
    <w:p w14:paraId="705830D1" w14:textId="4C3109D6" w:rsidR="00014845" w:rsidRDefault="00280EAB" w:rsidP="00014845">
      <w:pPr>
        <w:pStyle w:val="3"/>
        <w:rPr>
          <w:rFonts w:eastAsia="Arial Unicode MS"/>
        </w:rPr>
      </w:pPr>
      <w:bookmarkStart w:id="8" w:name="_Toc170485952"/>
      <w:bookmarkEnd w:id="0"/>
      <w:bookmarkEnd w:id="1"/>
      <w:r>
        <w:rPr>
          <w:rFonts w:eastAsia="Arial Unicode MS"/>
        </w:rPr>
        <w:t>Основания м</w:t>
      </w:r>
      <w:r w:rsidR="00014845">
        <w:rPr>
          <w:rFonts w:eastAsia="Arial Unicode MS"/>
        </w:rPr>
        <w:t>етодик</w:t>
      </w:r>
      <w:r>
        <w:rPr>
          <w:rFonts w:eastAsia="Arial Unicode MS"/>
        </w:rPr>
        <w:t>и</w:t>
      </w:r>
      <w:r w:rsidR="00014845">
        <w:rPr>
          <w:rFonts w:eastAsia="Arial Unicode MS"/>
        </w:rPr>
        <w:t xml:space="preserve"> </w:t>
      </w:r>
      <w:r w:rsidR="00DA54F8">
        <w:rPr>
          <w:rFonts w:eastAsia="Arial Unicode MS" w:cs="Times New Roman"/>
          <w:szCs w:val="28"/>
        </w:rPr>
        <w:t>ф</w:t>
      </w:r>
      <w:r w:rsidR="00DA54F8" w:rsidRPr="00D71F80">
        <w:rPr>
          <w:rFonts w:eastAsia="Arial Unicode MS" w:cs="Times New Roman"/>
          <w:szCs w:val="28"/>
        </w:rPr>
        <w:t>инансово-экономическ</w:t>
      </w:r>
      <w:r w:rsidR="00DA54F8">
        <w:rPr>
          <w:rFonts w:eastAsia="Arial Unicode MS" w:cs="Times New Roman"/>
          <w:szCs w:val="28"/>
        </w:rPr>
        <w:t>ой</w:t>
      </w:r>
      <w:r w:rsidR="00DA54F8" w:rsidRPr="00D71F80">
        <w:rPr>
          <w:rFonts w:eastAsia="Arial Unicode MS" w:cs="Times New Roman"/>
          <w:szCs w:val="28"/>
        </w:rPr>
        <w:t xml:space="preserve"> </w:t>
      </w:r>
      <w:r w:rsidR="00014845">
        <w:rPr>
          <w:rFonts w:eastAsia="Arial Unicode MS"/>
        </w:rPr>
        <w:t>оценки</w:t>
      </w:r>
      <w:bookmarkEnd w:id="8"/>
      <w:r w:rsidR="00DA54F8">
        <w:rPr>
          <w:rFonts w:eastAsia="Arial Unicode MS"/>
        </w:rPr>
        <w:t xml:space="preserve"> </w:t>
      </w:r>
      <w:r w:rsidR="00DA54F8">
        <w:rPr>
          <w:rFonts w:eastAsia="Arial Unicode MS" w:cs="Times New Roman"/>
          <w:szCs w:val="28"/>
        </w:rPr>
        <w:t>проектов производства ВТ-газа</w:t>
      </w:r>
    </w:p>
    <w:p w14:paraId="2E32ED5B" w14:textId="25B105B5" w:rsidR="0092081B" w:rsidRPr="009A708B" w:rsidRDefault="00AE4FAE" w:rsidP="009B404B">
      <w:pPr>
        <w:spacing w:after="0"/>
        <w:rPr>
          <w:rFonts w:cs="Times New Roman"/>
        </w:rPr>
      </w:pPr>
      <w:r>
        <w:rPr>
          <w:rFonts w:eastAsia="Arial Unicode MS" w:cs="Times New Roman"/>
          <w:szCs w:val="28"/>
        </w:rPr>
        <w:t>Сравнительная ф</w:t>
      </w:r>
      <w:r w:rsidRPr="00D71F80">
        <w:rPr>
          <w:rFonts w:eastAsia="Arial Unicode MS" w:cs="Times New Roman"/>
          <w:szCs w:val="28"/>
        </w:rPr>
        <w:t xml:space="preserve">инансово-экономическая оценка </w:t>
      </w:r>
      <w:r>
        <w:rPr>
          <w:rFonts w:eastAsia="Arial Unicode MS" w:cs="Times New Roman"/>
          <w:szCs w:val="28"/>
        </w:rPr>
        <w:t>проектов добычи и производства ВТ-газа (</w:t>
      </w:r>
      <w:r w:rsidRPr="00D71F80">
        <w:rPr>
          <w:rFonts w:eastAsia="Arial Unicode MS" w:cs="Times New Roman"/>
          <w:szCs w:val="28"/>
        </w:rPr>
        <w:t>освоения запасов газ</w:t>
      </w:r>
      <w:r>
        <w:rPr>
          <w:rFonts w:eastAsia="Arial Unicode MS" w:cs="Times New Roman"/>
          <w:szCs w:val="28"/>
        </w:rPr>
        <w:t>а</w:t>
      </w:r>
      <w:r w:rsidRPr="00D71F80">
        <w:rPr>
          <w:rFonts w:eastAsia="Arial Unicode MS" w:cs="Times New Roman"/>
          <w:szCs w:val="28"/>
        </w:rPr>
        <w:t xml:space="preserve"> </w:t>
      </w:r>
      <w:r w:rsidRPr="00D71F80">
        <w:rPr>
          <w:rFonts w:cs="Times New Roman"/>
        </w:rPr>
        <w:t>из разных пластов</w:t>
      </w:r>
      <w:r>
        <w:rPr>
          <w:rFonts w:cs="Times New Roman"/>
        </w:rPr>
        <w:t xml:space="preserve"> и производства СПГ)</w:t>
      </w:r>
      <w:r w:rsidRPr="00D71F80">
        <w:rPr>
          <w:rFonts w:cs="Times New Roman"/>
        </w:rPr>
        <w:t xml:space="preserve"> была </w:t>
      </w:r>
      <w:r>
        <w:rPr>
          <w:rFonts w:cs="Times New Roman"/>
        </w:rPr>
        <w:t>выполн</w:t>
      </w:r>
      <w:r w:rsidRPr="00D71F80">
        <w:rPr>
          <w:rFonts w:cs="Times New Roman"/>
        </w:rPr>
        <w:t xml:space="preserve">ена на примере </w:t>
      </w:r>
      <w:r w:rsidR="003977FD">
        <w:rPr>
          <w:rFonts w:cs="Times New Roman"/>
        </w:rPr>
        <w:t xml:space="preserve">крупного </w:t>
      </w:r>
      <w:r w:rsidR="009B404B">
        <w:rPr>
          <w:rFonts w:cs="Times New Roman"/>
        </w:rPr>
        <w:t>г</w:t>
      </w:r>
      <w:r w:rsidR="003977FD" w:rsidRPr="003977FD">
        <w:rPr>
          <w:rFonts w:cs="Times New Roman"/>
        </w:rPr>
        <w:t>азоконденсатно</w:t>
      </w:r>
      <w:r w:rsidR="003977FD">
        <w:rPr>
          <w:rFonts w:cs="Times New Roman"/>
        </w:rPr>
        <w:t xml:space="preserve">го </w:t>
      </w:r>
      <w:r w:rsidRPr="00D71F80">
        <w:rPr>
          <w:rFonts w:cs="Times New Roman"/>
        </w:rPr>
        <w:t>месторождения</w:t>
      </w:r>
      <w:r w:rsidR="003977FD">
        <w:rPr>
          <w:rFonts w:cs="Times New Roman"/>
        </w:rPr>
        <w:t>, расположенного на территории ЯНАО</w:t>
      </w:r>
      <w:r w:rsidRPr="00D71F80">
        <w:rPr>
          <w:rFonts w:cs="Times New Roman"/>
        </w:rPr>
        <w:t xml:space="preserve">. </w:t>
      </w:r>
      <w:r w:rsidR="0092081B" w:rsidRPr="009A708B">
        <w:rPr>
          <w:rFonts w:cs="Times New Roman"/>
        </w:rPr>
        <w:t xml:space="preserve">На месторождении </w:t>
      </w:r>
      <w:r w:rsidR="0092081B">
        <w:rPr>
          <w:rFonts w:cs="Times New Roman"/>
        </w:rPr>
        <w:t xml:space="preserve">представлены </w:t>
      </w:r>
      <w:r w:rsidR="0092081B" w:rsidRPr="009A708B">
        <w:rPr>
          <w:rFonts w:cs="Times New Roman"/>
        </w:rPr>
        <w:t>основные объекты разработки</w:t>
      </w:r>
      <w:r w:rsidR="0092081B">
        <w:rPr>
          <w:rFonts w:cs="Times New Roman"/>
        </w:rPr>
        <w:t>, которые требуют различных подходов к освоению</w:t>
      </w:r>
      <w:r w:rsidR="009B404B">
        <w:rPr>
          <w:rFonts w:cs="Times New Roman"/>
        </w:rPr>
        <w:t>,</w:t>
      </w:r>
      <w:r w:rsidR="0092081B">
        <w:rPr>
          <w:rFonts w:cs="Times New Roman"/>
        </w:rPr>
        <w:t xml:space="preserve"> соответственно, применения разных технологий</w:t>
      </w:r>
      <w:r w:rsidR="0092081B" w:rsidRPr="009A708B">
        <w:rPr>
          <w:rFonts w:cs="Times New Roman"/>
        </w:rPr>
        <w:t xml:space="preserve">, </w:t>
      </w:r>
      <w:r w:rsidR="0092081B">
        <w:rPr>
          <w:rFonts w:cs="Times New Roman"/>
        </w:rPr>
        <w:t>отличающихся в том числе степенью инновационности</w:t>
      </w:r>
      <w:r w:rsidR="0092081B" w:rsidRPr="009A708B">
        <w:rPr>
          <w:rFonts w:cs="Times New Roman"/>
        </w:rPr>
        <w:t>:</w:t>
      </w:r>
      <w:r w:rsidR="0092081B">
        <w:rPr>
          <w:rFonts w:cs="Times New Roman"/>
        </w:rPr>
        <w:t xml:space="preserve"> с</w:t>
      </w:r>
      <w:r w:rsidR="0092081B" w:rsidRPr="009A708B">
        <w:rPr>
          <w:rFonts w:cs="Times New Roman"/>
        </w:rPr>
        <w:t>еноман</w:t>
      </w:r>
      <w:r w:rsidR="0092081B">
        <w:rPr>
          <w:rFonts w:cs="Times New Roman"/>
        </w:rPr>
        <w:t>ские</w:t>
      </w:r>
      <w:r w:rsidR="0092081B" w:rsidRPr="009A708B">
        <w:rPr>
          <w:rFonts w:cs="Times New Roman"/>
        </w:rPr>
        <w:t xml:space="preserve"> (со сниженным давлением, </w:t>
      </w:r>
      <w:r w:rsidR="0092081B">
        <w:rPr>
          <w:rFonts w:cs="Times New Roman"/>
        </w:rPr>
        <w:t>поскольку</w:t>
      </w:r>
      <w:r w:rsidR="0092081B" w:rsidRPr="009A708B">
        <w:rPr>
          <w:rFonts w:cs="Times New Roman"/>
        </w:rPr>
        <w:t xml:space="preserve"> добыча </w:t>
      </w:r>
      <w:r w:rsidR="0092081B">
        <w:rPr>
          <w:rFonts w:cs="Times New Roman"/>
        </w:rPr>
        <w:t>газа осуществляется уже продолжительное время</w:t>
      </w:r>
      <w:r w:rsidR="0092081B" w:rsidRPr="009A708B">
        <w:rPr>
          <w:rFonts w:cs="Times New Roman"/>
        </w:rPr>
        <w:t>)</w:t>
      </w:r>
      <w:r w:rsidR="0092081B">
        <w:rPr>
          <w:rFonts w:cs="Times New Roman"/>
        </w:rPr>
        <w:t>, н</w:t>
      </w:r>
      <w:r w:rsidR="0092081B" w:rsidRPr="009A708B">
        <w:rPr>
          <w:rFonts w:cs="Times New Roman"/>
        </w:rPr>
        <w:t>еоком</w:t>
      </w:r>
      <w:r w:rsidR="0092081B">
        <w:rPr>
          <w:rFonts w:cs="Times New Roman"/>
        </w:rPr>
        <w:t>ские, а</w:t>
      </w:r>
      <w:r w:rsidR="0092081B" w:rsidRPr="009A708B">
        <w:rPr>
          <w:rFonts w:cs="Times New Roman"/>
        </w:rPr>
        <w:t xml:space="preserve">чимовские и </w:t>
      </w:r>
      <w:r w:rsidR="0092081B">
        <w:rPr>
          <w:rFonts w:cs="Times New Roman"/>
        </w:rPr>
        <w:t>ю</w:t>
      </w:r>
      <w:r w:rsidR="0092081B" w:rsidRPr="009A708B">
        <w:rPr>
          <w:rFonts w:cs="Times New Roman"/>
        </w:rPr>
        <w:t xml:space="preserve">рские </w:t>
      </w:r>
      <w:r w:rsidR="0092081B">
        <w:rPr>
          <w:rFonts w:cs="Times New Roman"/>
        </w:rPr>
        <w:t>залежи.</w:t>
      </w:r>
    </w:p>
    <w:p w14:paraId="5FCC4407" w14:textId="3C835702" w:rsidR="00AE4FAE" w:rsidRPr="009A708B" w:rsidRDefault="0092081B" w:rsidP="00AE4FAE">
      <w:pPr>
        <w:spacing w:after="0"/>
        <w:rPr>
          <w:rFonts w:cs="Times New Roman"/>
        </w:rPr>
      </w:pPr>
      <w:r>
        <w:rPr>
          <w:rFonts w:cs="Times New Roman"/>
        </w:rPr>
        <w:t xml:space="preserve">Рассматриваемое </w:t>
      </w:r>
      <w:r w:rsidRPr="00596096">
        <w:rPr>
          <w:rFonts w:cs="Times New Roman"/>
        </w:rPr>
        <w:t>месторождение отчетливо характеризует текущую ситуацию в газовой отрасли ЯНАО</w:t>
      </w:r>
      <w:r w:rsidR="00E93C39" w:rsidRPr="00596096">
        <w:rPr>
          <w:rFonts w:cs="Times New Roman"/>
        </w:rPr>
        <w:t xml:space="preserve"> </w:t>
      </w:r>
      <w:r w:rsidR="00066A0B" w:rsidRPr="00596096">
        <w:rPr>
          <w:rFonts w:cs="Times New Roman"/>
        </w:rPr>
        <w:t>(</w:t>
      </w:r>
      <w:r w:rsidR="00E93C39" w:rsidRPr="00596096">
        <w:rPr>
          <w:rFonts w:cs="Times New Roman"/>
        </w:rPr>
        <w:t>Брехунцов, Нестеров, Грамматчикова, 2023</w:t>
      </w:r>
      <w:r w:rsidR="00066A0B" w:rsidRPr="00596096">
        <w:rPr>
          <w:rFonts w:cs="Times New Roman"/>
        </w:rPr>
        <w:t>)</w:t>
      </w:r>
      <w:r w:rsidRPr="00596096">
        <w:rPr>
          <w:rFonts w:cs="Times New Roman"/>
        </w:rPr>
        <w:t xml:space="preserve">. </w:t>
      </w:r>
      <w:r w:rsidR="00AE4FAE" w:rsidRPr="00D71F80">
        <w:rPr>
          <w:rFonts w:cs="Times New Roman"/>
        </w:rPr>
        <w:t>Традиционные – сеноманские – запасы уже длительный период времени разрабатыва</w:t>
      </w:r>
      <w:r w:rsidR="00AE4FAE">
        <w:rPr>
          <w:rFonts w:cs="Times New Roman"/>
        </w:rPr>
        <w:t>ю</w:t>
      </w:r>
      <w:r w:rsidR="00AE4FAE" w:rsidRPr="00D71F80">
        <w:rPr>
          <w:rFonts w:cs="Times New Roman"/>
        </w:rPr>
        <w:t>т</w:t>
      </w:r>
      <w:r w:rsidR="00AE4FAE">
        <w:rPr>
          <w:rFonts w:cs="Times New Roman"/>
        </w:rPr>
        <w:t>ся</w:t>
      </w:r>
      <w:r w:rsidRPr="0092081B">
        <w:rPr>
          <w:rFonts w:cs="Times New Roman"/>
        </w:rPr>
        <w:t>, а</w:t>
      </w:r>
      <w:r w:rsidR="00AE4FAE" w:rsidRPr="00D71F80">
        <w:rPr>
          <w:rFonts w:cs="Times New Roman"/>
        </w:rPr>
        <w:t xml:space="preserve"> </w:t>
      </w:r>
      <w:r w:rsidR="00AE4FAE">
        <w:rPr>
          <w:rFonts w:cs="Times New Roman"/>
        </w:rPr>
        <w:t>ТРИЗ</w:t>
      </w:r>
      <w:r w:rsidR="00AE4FAE" w:rsidRPr="00D71F80">
        <w:rPr>
          <w:rFonts w:cs="Times New Roman"/>
        </w:rPr>
        <w:t xml:space="preserve"> (ачимовские и юрские залежи) пока не осваиваются</w:t>
      </w:r>
      <w:r w:rsidR="00AE4FAE" w:rsidRPr="009A708B">
        <w:rPr>
          <w:rFonts w:cs="Times New Roman"/>
        </w:rPr>
        <w:t xml:space="preserve">. </w:t>
      </w:r>
      <w:r w:rsidR="00AE4FAE">
        <w:rPr>
          <w:rFonts w:cs="Times New Roman"/>
        </w:rPr>
        <w:t xml:space="preserve">Имеется </w:t>
      </w:r>
      <w:r w:rsidR="00AE4FAE" w:rsidRPr="009A708B">
        <w:rPr>
          <w:rFonts w:cs="Times New Roman"/>
        </w:rPr>
        <w:t>действующая инфраструктура и работающее добывающее предприятие</w:t>
      </w:r>
      <w:r w:rsidR="00AE4FAE">
        <w:rPr>
          <w:rFonts w:cs="Times New Roman"/>
        </w:rPr>
        <w:t xml:space="preserve">. </w:t>
      </w:r>
      <w:r w:rsidR="00AE4FAE">
        <w:rPr>
          <w:rFonts w:cs="Times New Roman"/>
        </w:rPr>
        <w:lastRenderedPageBreak/>
        <w:t xml:space="preserve">При этом </w:t>
      </w:r>
      <w:r w:rsidR="00AE4FAE" w:rsidRPr="009A708B">
        <w:rPr>
          <w:rFonts w:cs="Times New Roman"/>
        </w:rPr>
        <w:t xml:space="preserve">прогнозируется падение добычи </w:t>
      </w:r>
      <w:r w:rsidR="00AE4FAE">
        <w:rPr>
          <w:rFonts w:cs="Times New Roman"/>
        </w:rPr>
        <w:t xml:space="preserve">газа </w:t>
      </w:r>
      <w:r w:rsidR="00AE4FAE" w:rsidRPr="009A708B">
        <w:rPr>
          <w:rFonts w:cs="Times New Roman"/>
        </w:rPr>
        <w:t>из-за выработки запасов и снижающегося давления в сеноманск</w:t>
      </w:r>
      <w:r w:rsidR="00AE4FAE">
        <w:rPr>
          <w:rFonts w:cs="Times New Roman"/>
        </w:rPr>
        <w:t>их</w:t>
      </w:r>
      <w:r w:rsidR="00AE4FAE" w:rsidRPr="009A708B">
        <w:rPr>
          <w:rFonts w:cs="Times New Roman"/>
        </w:rPr>
        <w:t xml:space="preserve"> пласт</w:t>
      </w:r>
      <w:r w:rsidR="00AE4FAE">
        <w:rPr>
          <w:rFonts w:cs="Times New Roman"/>
        </w:rPr>
        <w:t>ах</w:t>
      </w:r>
      <w:r w:rsidR="00E93C39">
        <w:rPr>
          <w:rFonts w:cs="Times New Roman"/>
        </w:rPr>
        <w:t>.</w:t>
      </w:r>
    </w:p>
    <w:p w14:paraId="40DE9367" w14:textId="145AE64F" w:rsidR="00AE4FAE" w:rsidRPr="00767129" w:rsidRDefault="00AE4FAE" w:rsidP="00AE4FAE">
      <w:pPr>
        <w:spacing w:after="0"/>
        <w:rPr>
          <w:rFonts w:eastAsia="Arial Unicode MS" w:cs="Times New Roman"/>
          <w:szCs w:val="28"/>
        </w:rPr>
      </w:pPr>
      <w:r w:rsidRPr="00767129">
        <w:rPr>
          <w:rFonts w:eastAsia="Arial Unicode MS" w:cs="Times New Roman"/>
          <w:szCs w:val="28"/>
        </w:rPr>
        <w:t>Оценк</w:t>
      </w:r>
      <w:r>
        <w:rPr>
          <w:rFonts w:eastAsia="Arial Unicode MS" w:cs="Times New Roman"/>
          <w:szCs w:val="28"/>
        </w:rPr>
        <w:t>а</w:t>
      </w:r>
      <w:r w:rsidRPr="00767129">
        <w:rPr>
          <w:rFonts w:eastAsia="Arial Unicode MS" w:cs="Times New Roman"/>
          <w:szCs w:val="28"/>
        </w:rPr>
        <w:t xml:space="preserve"> сценариев разработки </w:t>
      </w:r>
      <w:r w:rsidR="00E93C39">
        <w:rPr>
          <w:rFonts w:eastAsia="Arial Unicode MS" w:cs="Times New Roman"/>
          <w:szCs w:val="28"/>
        </w:rPr>
        <w:t xml:space="preserve">и использования </w:t>
      </w:r>
      <w:r>
        <w:rPr>
          <w:rFonts w:eastAsia="Arial Unicode MS" w:cs="Times New Roman"/>
          <w:szCs w:val="28"/>
        </w:rPr>
        <w:t xml:space="preserve">запасов </w:t>
      </w:r>
      <w:r w:rsidRPr="00767129">
        <w:rPr>
          <w:rFonts w:eastAsia="Arial Unicode MS" w:cs="Times New Roman"/>
          <w:szCs w:val="28"/>
        </w:rPr>
        <w:t xml:space="preserve">природного газа </w:t>
      </w:r>
      <w:r>
        <w:rPr>
          <w:rFonts w:eastAsia="Arial Unicode MS" w:cs="Times New Roman"/>
          <w:szCs w:val="28"/>
        </w:rPr>
        <w:t>включает</w:t>
      </w:r>
      <w:r w:rsidRPr="00767129">
        <w:rPr>
          <w:rFonts w:eastAsia="Arial Unicode MS" w:cs="Times New Roman"/>
          <w:szCs w:val="28"/>
        </w:rPr>
        <w:t xml:space="preserve"> </w:t>
      </w:r>
      <w:r>
        <w:rPr>
          <w:rFonts w:eastAsia="Arial Unicode MS" w:cs="Times New Roman"/>
          <w:szCs w:val="28"/>
        </w:rPr>
        <w:t>несколько</w:t>
      </w:r>
      <w:r w:rsidRPr="00767129">
        <w:rPr>
          <w:rFonts w:eastAsia="Arial Unicode MS" w:cs="Times New Roman"/>
          <w:szCs w:val="28"/>
        </w:rPr>
        <w:t xml:space="preserve"> последовательных </w:t>
      </w:r>
      <w:r>
        <w:rPr>
          <w:rFonts w:eastAsia="Arial Unicode MS" w:cs="Times New Roman"/>
          <w:szCs w:val="28"/>
        </w:rPr>
        <w:t>этап</w:t>
      </w:r>
      <w:r w:rsidRPr="00767129">
        <w:rPr>
          <w:rFonts w:eastAsia="Arial Unicode MS" w:cs="Times New Roman"/>
          <w:szCs w:val="28"/>
        </w:rPr>
        <w:t>ов:</w:t>
      </w:r>
    </w:p>
    <w:p w14:paraId="35C9B3EE" w14:textId="6BB86685" w:rsidR="00AE4FAE" w:rsidRPr="00767129" w:rsidRDefault="00AE4FAE" w:rsidP="00AE4FAE">
      <w:pPr>
        <w:spacing w:before="0" w:after="0"/>
        <w:ind w:firstLine="708"/>
        <w:rPr>
          <w:rFonts w:eastAsia="Arial Unicode MS" w:cs="Times New Roman"/>
          <w:szCs w:val="28"/>
        </w:rPr>
      </w:pPr>
      <w:r w:rsidRPr="00767129">
        <w:rPr>
          <w:rFonts w:eastAsia="Arial Unicode MS" w:cs="Times New Roman"/>
          <w:szCs w:val="28"/>
        </w:rPr>
        <w:t xml:space="preserve">– прогноз добычи газа и конденсата в </w:t>
      </w:r>
      <w:r w:rsidRPr="00C17FB2">
        <w:rPr>
          <w:rFonts w:eastAsia="Arial Unicode MS" w:cs="Times New Roman"/>
          <w:szCs w:val="28"/>
        </w:rPr>
        <w:t>зависимости от геологических параметров с привязкой к реальным характеристикам</w:t>
      </w:r>
      <w:r w:rsidR="00AA0C54">
        <w:rPr>
          <w:rFonts w:eastAsia="Arial Unicode MS" w:cs="Times New Roman"/>
          <w:szCs w:val="28"/>
        </w:rPr>
        <w:t xml:space="preserve"> рассматриваемого</w:t>
      </w:r>
      <w:r w:rsidRPr="00C17FB2">
        <w:rPr>
          <w:rFonts w:eastAsia="Arial Unicode MS" w:cs="Times New Roman"/>
          <w:szCs w:val="28"/>
        </w:rPr>
        <w:t xml:space="preserve"> </w:t>
      </w:r>
      <w:r w:rsidR="009B404B">
        <w:rPr>
          <w:rFonts w:cs="Times New Roman"/>
        </w:rPr>
        <w:t>г</w:t>
      </w:r>
      <w:r w:rsidR="009B404B" w:rsidRPr="003977FD">
        <w:rPr>
          <w:rFonts w:cs="Times New Roman"/>
        </w:rPr>
        <w:t>азоконденсатно</w:t>
      </w:r>
      <w:r w:rsidR="009B404B">
        <w:rPr>
          <w:rFonts w:cs="Times New Roman"/>
        </w:rPr>
        <w:t>го</w:t>
      </w:r>
      <w:r w:rsidR="009B404B" w:rsidRPr="00767129">
        <w:rPr>
          <w:rFonts w:eastAsia="Arial Unicode MS" w:cs="Times New Roman"/>
          <w:szCs w:val="28"/>
        </w:rPr>
        <w:t xml:space="preserve"> </w:t>
      </w:r>
      <w:r w:rsidRPr="00767129">
        <w:rPr>
          <w:rFonts w:eastAsia="Arial Unicode MS" w:cs="Times New Roman"/>
          <w:szCs w:val="28"/>
        </w:rPr>
        <w:t>месторождения;</w:t>
      </w:r>
    </w:p>
    <w:p w14:paraId="16087F50" w14:textId="77777777" w:rsidR="00AE4FAE" w:rsidRPr="00767129" w:rsidRDefault="00AE4FAE" w:rsidP="00AE4FAE">
      <w:pPr>
        <w:spacing w:before="0" w:after="0"/>
        <w:ind w:firstLine="708"/>
        <w:rPr>
          <w:rFonts w:eastAsia="Arial Unicode MS" w:cs="Times New Roman"/>
          <w:szCs w:val="28"/>
        </w:rPr>
      </w:pPr>
      <w:r w:rsidRPr="00767129">
        <w:rPr>
          <w:rFonts w:eastAsia="Arial Unicode MS" w:cs="Times New Roman"/>
          <w:szCs w:val="28"/>
        </w:rPr>
        <w:t xml:space="preserve">– определение конструкции скважин и </w:t>
      </w:r>
      <w:r>
        <w:rPr>
          <w:rFonts w:eastAsia="Arial Unicode MS" w:cs="Times New Roman"/>
          <w:szCs w:val="28"/>
        </w:rPr>
        <w:t>оцен</w:t>
      </w:r>
      <w:r w:rsidRPr="00767129">
        <w:rPr>
          <w:rFonts w:eastAsia="Arial Unicode MS" w:cs="Times New Roman"/>
          <w:szCs w:val="28"/>
        </w:rPr>
        <w:t xml:space="preserve">ка </w:t>
      </w:r>
      <w:r>
        <w:rPr>
          <w:rFonts w:eastAsia="Arial Unicode MS" w:cs="Times New Roman"/>
          <w:szCs w:val="28"/>
        </w:rPr>
        <w:t>динамики</w:t>
      </w:r>
      <w:r w:rsidRPr="00767129">
        <w:rPr>
          <w:rFonts w:eastAsia="Arial Unicode MS" w:cs="Times New Roman"/>
          <w:szCs w:val="28"/>
        </w:rPr>
        <w:t xml:space="preserve"> </w:t>
      </w:r>
      <w:r>
        <w:rPr>
          <w:rFonts w:eastAsia="Arial Unicode MS" w:cs="Times New Roman"/>
          <w:szCs w:val="28"/>
        </w:rPr>
        <w:t xml:space="preserve">их </w:t>
      </w:r>
      <w:r w:rsidRPr="00767129">
        <w:rPr>
          <w:rFonts w:eastAsia="Arial Unicode MS" w:cs="Times New Roman"/>
          <w:szCs w:val="28"/>
        </w:rPr>
        <w:t xml:space="preserve">ввода для </w:t>
      </w:r>
      <w:r>
        <w:rPr>
          <w:rFonts w:eastAsia="Arial Unicode MS" w:cs="Times New Roman"/>
          <w:szCs w:val="28"/>
        </w:rPr>
        <w:t>рассматриваемых сценариев</w:t>
      </w:r>
      <w:r w:rsidRPr="00767129">
        <w:rPr>
          <w:rFonts w:eastAsia="Arial Unicode MS" w:cs="Times New Roman"/>
          <w:szCs w:val="28"/>
        </w:rPr>
        <w:t>;</w:t>
      </w:r>
    </w:p>
    <w:p w14:paraId="5F08EF56" w14:textId="142451A1" w:rsidR="00AE4FAE" w:rsidRPr="00C315A6" w:rsidRDefault="00AE4FAE" w:rsidP="00AE4FAE">
      <w:pPr>
        <w:spacing w:before="0" w:after="0"/>
        <w:ind w:firstLine="708"/>
        <w:rPr>
          <w:rFonts w:eastAsia="Arial Unicode MS" w:cs="Times New Roman"/>
          <w:color w:val="0000FF"/>
          <w:szCs w:val="28"/>
        </w:rPr>
      </w:pPr>
      <w:r w:rsidRPr="00767129">
        <w:rPr>
          <w:rFonts w:eastAsia="Arial Unicode MS" w:cs="Times New Roman"/>
          <w:szCs w:val="28"/>
        </w:rPr>
        <w:t xml:space="preserve">– </w:t>
      </w:r>
      <w:r>
        <w:rPr>
          <w:rFonts w:eastAsia="Arial Unicode MS" w:cs="Times New Roman"/>
          <w:szCs w:val="28"/>
        </w:rPr>
        <w:t>расчет</w:t>
      </w:r>
      <w:r w:rsidRPr="00767129">
        <w:rPr>
          <w:rFonts w:eastAsia="Arial Unicode MS" w:cs="Times New Roman"/>
          <w:szCs w:val="28"/>
        </w:rPr>
        <w:t xml:space="preserve"> операционных </w:t>
      </w:r>
      <w:r>
        <w:rPr>
          <w:rFonts w:eastAsia="Arial Unicode MS" w:cs="Times New Roman"/>
          <w:szCs w:val="28"/>
        </w:rPr>
        <w:t xml:space="preserve">и </w:t>
      </w:r>
      <w:r w:rsidRPr="00767129">
        <w:rPr>
          <w:rFonts w:eastAsia="Arial Unicode MS" w:cs="Times New Roman"/>
          <w:szCs w:val="28"/>
        </w:rPr>
        <w:t xml:space="preserve">капитальных затрат </w:t>
      </w:r>
      <w:r>
        <w:rPr>
          <w:rFonts w:eastAsia="Arial Unicode MS" w:cs="Times New Roman"/>
          <w:szCs w:val="28"/>
        </w:rPr>
        <w:t xml:space="preserve">на основе </w:t>
      </w:r>
      <w:r w:rsidRPr="00767129">
        <w:rPr>
          <w:rFonts w:eastAsia="Arial Unicode MS" w:cs="Times New Roman"/>
          <w:szCs w:val="28"/>
        </w:rPr>
        <w:t xml:space="preserve">программного комплекса </w:t>
      </w:r>
      <w:r w:rsidRPr="00767129">
        <w:rPr>
          <w:rFonts w:eastAsia="Times New Roman" w:cs="Times New Roman"/>
          <w:bCs/>
          <w:szCs w:val="28"/>
          <w:lang w:eastAsia="ru-RU"/>
        </w:rPr>
        <w:t>Ingenix Cost Manager®</w:t>
      </w:r>
      <w:r w:rsidR="00C315A6">
        <w:rPr>
          <w:rFonts w:eastAsia="Times New Roman" w:cs="Times New Roman"/>
          <w:bCs/>
          <w:szCs w:val="28"/>
          <w:lang w:eastAsia="ru-RU"/>
        </w:rPr>
        <w:t xml:space="preserve"> </w:t>
      </w:r>
      <w:r w:rsidR="00C315A6" w:rsidRPr="00C315A6">
        <w:rPr>
          <w:rFonts w:eastAsia="Times New Roman" w:cs="Times New Roman"/>
          <w:bCs/>
          <w:color w:val="0000FF"/>
          <w:szCs w:val="28"/>
          <w:lang w:eastAsia="ru-RU"/>
        </w:rPr>
        <w:t xml:space="preserve">(ПК </w:t>
      </w:r>
      <w:r w:rsidR="00C315A6" w:rsidRPr="00C315A6">
        <w:rPr>
          <w:rFonts w:eastAsia="Times New Roman" w:cs="Times New Roman"/>
          <w:bCs/>
          <w:color w:val="0000FF"/>
          <w:szCs w:val="28"/>
          <w:lang w:val="en-US" w:eastAsia="ru-RU"/>
        </w:rPr>
        <w:t>ICM</w:t>
      </w:r>
      <w:r w:rsidR="00C315A6" w:rsidRPr="00C315A6">
        <w:rPr>
          <w:rFonts w:eastAsia="Times New Roman" w:cs="Times New Roman"/>
          <w:bCs/>
          <w:color w:val="0000FF"/>
          <w:szCs w:val="28"/>
          <w:lang w:eastAsia="ru-RU"/>
        </w:rPr>
        <w:t>). Оценка затрат проводится с использование</w:t>
      </w:r>
      <w:r w:rsidR="00796901">
        <w:rPr>
          <w:rFonts w:eastAsia="Times New Roman" w:cs="Times New Roman"/>
          <w:bCs/>
          <w:color w:val="0000FF"/>
          <w:szCs w:val="28"/>
          <w:lang w:eastAsia="ru-RU"/>
        </w:rPr>
        <w:t>м</w:t>
      </w:r>
      <w:r w:rsidR="00C315A6" w:rsidRPr="00C315A6">
        <w:rPr>
          <w:rFonts w:eastAsia="Times New Roman" w:cs="Times New Roman"/>
          <w:bCs/>
          <w:color w:val="0000FF"/>
          <w:szCs w:val="28"/>
          <w:lang w:eastAsia="ru-RU"/>
        </w:rPr>
        <w:t xml:space="preserve"> отраслевой базы данных по затратам ПК ICM с применением метода технико-экономического моделирования и использованием стоимостных моделей </w:t>
      </w:r>
      <w:r w:rsidR="00C315A6" w:rsidRPr="00796901">
        <w:rPr>
          <w:rFonts w:eastAsia="Times New Roman" w:cs="Times New Roman"/>
          <w:bCs/>
          <w:color w:val="0000FF"/>
          <w:szCs w:val="28"/>
          <w:lang w:eastAsia="ru-RU"/>
        </w:rPr>
        <w:t>(Дубовицкая, Чижиков, Ткаченко, 2017; Дубовицкая, Чижиков, 2021)</w:t>
      </w:r>
      <w:r w:rsidRPr="00C315A6">
        <w:rPr>
          <w:rFonts w:eastAsia="Arial Unicode MS" w:cs="Times New Roman"/>
          <w:color w:val="0000FF"/>
          <w:szCs w:val="28"/>
        </w:rPr>
        <w:t>;</w:t>
      </w:r>
    </w:p>
    <w:p w14:paraId="74D296D2" w14:textId="1A5633BF" w:rsidR="00AE4FAE" w:rsidRPr="00690407" w:rsidRDefault="00AE4FAE" w:rsidP="00AE4FAE">
      <w:pPr>
        <w:spacing w:before="0" w:after="0"/>
        <w:ind w:firstLine="708"/>
        <w:rPr>
          <w:rFonts w:eastAsia="Arial Unicode MS" w:cs="Times New Roman"/>
          <w:szCs w:val="28"/>
        </w:rPr>
      </w:pPr>
      <w:r w:rsidRPr="00767129">
        <w:rPr>
          <w:rFonts w:eastAsia="Arial Unicode MS" w:cs="Times New Roman"/>
          <w:szCs w:val="28"/>
        </w:rPr>
        <w:t xml:space="preserve">– </w:t>
      </w:r>
      <w:r w:rsidR="00C315A6" w:rsidRPr="00C315A6">
        <w:rPr>
          <w:rFonts w:eastAsia="Arial Unicode MS" w:cs="Times New Roman"/>
          <w:color w:val="0000FF"/>
          <w:szCs w:val="28"/>
        </w:rPr>
        <w:t xml:space="preserve">оценка эффективности реализации проектов </w:t>
      </w:r>
      <w:r w:rsidR="00690407" w:rsidRPr="00690407">
        <w:rPr>
          <w:rFonts w:eastAsia="Arial Unicode MS" w:cs="Times New Roman"/>
          <w:color w:val="0000FF"/>
          <w:szCs w:val="28"/>
        </w:rPr>
        <w:t xml:space="preserve">общепринятым </w:t>
      </w:r>
      <w:r w:rsidR="00C315A6" w:rsidRPr="00C315A6">
        <w:rPr>
          <w:rFonts w:eastAsia="Arial Unicode MS" w:cs="Times New Roman"/>
          <w:color w:val="0000FF"/>
          <w:szCs w:val="28"/>
        </w:rPr>
        <w:t>методом дисконтированных денежных потоков</w:t>
      </w:r>
      <w:r w:rsidR="00420CE1">
        <w:rPr>
          <w:rFonts w:eastAsia="Arial Unicode MS" w:cs="Times New Roman"/>
          <w:color w:val="0000FF"/>
          <w:szCs w:val="28"/>
        </w:rPr>
        <w:t>. Д</w:t>
      </w:r>
      <w:r w:rsidR="00C315A6" w:rsidRPr="00C315A6">
        <w:rPr>
          <w:rFonts w:eastAsia="Arial Unicode MS" w:cs="Times New Roman"/>
          <w:color w:val="0000FF"/>
          <w:szCs w:val="28"/>
        </w:rPr>
        <w:t>ля автоматизации расчетов используется модуль расчета рентабельности ПК ICM.</w:t>
      </w:r>
      <w:r w:rsidRPr="00C315A6">
        <w:rPr>
          <w:rFonts w:eastAsia="Arial Unicode MS" w:cs="Times New Roman"/>
          <w:color w:val="0000FF"/>
          <w:szCs w:val="28"/>
        </w:rPr>
        <w:t xml:space="preserve"> </w:t>
      </w:r>
      <w:r>
        <w:rPr>
          <w:rFonts w:eastAsia="Arial Unicode MS" w:cs="Times New Roman"/>
          <w:szCs w:val="28"/>
        </w:rPr>
        <w:t xml:space="preserve">В качестве ключевых показателей эффективности реализации проектов приняты </w:t>
      </w:r>
      <w:r w:rsidR="00945216" w:rsidRPr="00767129">
        <w:rPr>
          <w:rFonts w:cs="Times New Roman"/>
          <w:szCs w:val="28"/>
        </w:rPr>
        <w:t xml:space="preserve">внутренняя норма </w:t>
      </w:r>
      <w:r w:rsidR="00945216" w:rsidRPr="00690407">
        <w:rPr>
          <w:rFonts w:cs="Times New Roman"/>
          <w:szCs w:val="28"/>
        </w:rPr>
        <w:t xml:space="preserve">доходности (ВНД) и </w:t>
      </w:r>
      <w:r w:rsidR="00AE4E48" w:rsidRPr="00690407">
        <w:rPr>
          <w:rFonts w:eastAsia="Arial Unicode MS" w:cs="Times New Roman"/>
          <w:szCs w:val="28"/>
        </w:rPr>
        <w:t>чистая текущая стоимость</w:t>
      </w:r>
      <w:r w:rsidRPr="00690407">
        <w:rPr>
          <w:rFonts w:eastAsia="Arial Unicode MS" w:cs="Times New Roman"/>
          <w:szCs w:val="28"/>
        </w:rPr>
        <w:t>.</w:t>
      </w:r>
    </w:p>
    <w:p w14:paraId="4DF0FBA9" w14:textId="23E04089" w:rsidR="00AE4FAE" w:rsidRPr="00A92E29" w:rsidRDefault="00AE4FAE" w:rsidP="00AE4FAE">
      <w:pPr>
        <w:spacing w:before="0" w:after="0"/>
        <w:ind w:firstLine="708"/>
        <w:rPr>
          <w:rFonts w:eastAsia="Arial Unicode MS" w:cs="Times New Roman"/>
          <w:szCs w:val="28"/>
        </w:rPr>
      </w:pPr>
      <w:r w:rsidRPr="00690407">
        <w:rPr>
          <w:rFonts w:eastAsia="Arial Unicode MS" w:cs="Times New Roman"/>
          <w:szCs w:val="28"/>
        </w:rPr>
        <w:t xml:space="preserve">Для сравнительной оценки подходов к освоению </w:t>
      </w:r>
      <w:r w:rsidR="00945216" w:rsidRPr="00690407">
        <w:rPr>
          <w:rFonts w:eastAsia="Arial Unicode MS" w:cs="Times New Roman"/>
          <w:szCs w:val="28"/>
        </w:rPr>
        <w:t xml:space="preserve">и использованию </w:t>
      </w:r>
      <w:r w:rsidRPr="00690407">
        <w:rPr>
          <w:rFonts w:eastAsia="Arial Unicode MS" w:cs="Times New Roman"/>
          <w:szCs w:val="28"/>
        </w:rPr>
        <w:t>запасов газа на рассматриваемом месторождении было сформировано три сценария: добыча газа, соответственно, из (</w:t>
      </w:r>
      <w:r w:rsidRPr="00690407">
        <w:rPr>
          <w:rFonts w:eastAsia="Arial Unicode MS" w:cs="Times New Roman"/>
          <w:szCs w:val="28"/>
          <w:lang w:val="en-US"/>
        </w:rPr>
        <w:t>I</w:t>
      </w:r>
      <w:r w:rsidRPr="00690407">
        <w:rPr>
          <w:rFonts w:eastAsia="Arial Unicode MS" w:cs="Times New Roman"/>
          <w:szCs w:val="28"/>
        </w:rPr>
        <w:t xml:space="preserve">) </w:t>
      </w:r>
      <w:r w:rsidRPr="00690407">
        <w:rPr>
          <w:rFonts w:cs="Times New Roman"/>
        </w:rPr>
        <w:t>сеноманских залежей (со сниженным давлением), (</w:t>
      </w:r>
      <w:r w:rsidRPr="00690407">
        <w:rPr>
          <w:rFonts w:cs="Times New Roman"/>
          <w:lang w:val="en-US"/>
        </w:rPr>
        <w:t>II</w:t>
      </w:r>
      <w:r w:rsidRPr="00690407">
        <w:rPr>
          <w:rFonts w:cs="Times New Roman"/>
        </w:rPr>
        <w:t>) неокомских, (</w:t>
      </w:r>
      <w:r w:rsidRPr="00690407">
        <w:rPr>
          <w:rFonts w:cs="Times New Roman"/>
          <w:lang w:val="en-US"/>
        </w:rPr>
        <w:t>III</w:t>
      </w:r>
      <w:r w:rsidRPr="00690407">
        <w:rPr>
          <w:rFonts w:cs="Times New Roman"/>
        </w:rPr>
        <w:t>) ачимовских и юрских залежей</w:t>
      </w:r>
      <w:r w:rsidRPr="00690407">
        <w:rPr>
          <w:rFonts w:eastAsia="Arial Unicode MS" w:cs="Times New Roman"/>
          <w:szCs w:val="28"/>
        </w:rPr>
        <w:t>. При этом каждый из сценариев включает два варианта</w:t>
      </w:r>
      <w:r w:rsidR="00945216" w:rsidRPr="00690407">
        <w:rPr>
          <w:rFonts w:eastAsia="Arial Unicode MS" w:cs="Times New Roman"/>
          <w:szCs w:val="28"/>
        </w:rPr>
        <w:t>:</w:t>
      </w:r>
      <w:r w:rsidRPr="00690407">
        <w:rPr>
          <w:rFonts w:eastAsia="Arial Unicode MS" w:cs="Times New Roman"/>
          <w:szCs w:val="28"/>
        </w:rPr>
        <w:t xml:space="preserve"> (1) поставка трубопроводного газа в </w:t>
      </w:r>
      <w:r w:rsidR="00631406" w:rsidRPr="00690407">
        <w:rPr>
          <w:rFonts w:eastAsia="Arial Unicode MS" w:cs="Times New Roman"/>
          <w:szCs w:val="28"/>
        </w:rPr>
        <w:t>Единую систему газоснабжения (</w:t>
      </w:r>
      <w:r w:rsidRPr="00690407">
        <w:rPr>
          <w:rFonts w:eastAsia="Arial Unicode MS" w:cs="Times New Roman"/>
          <w:szCs w:val="28"/>
        </w:rPr>
        <w:t>ЕСГ</w:t>
      </w:r>
      <w:r w:rsidR="00631406" w:rsidRPr="00690407">
        <w:rPr>
          <w:rFonts w:eastAsia="Arial Unicode MS" w:cs="Times New Roman"/>
          <w:szCs w:val="28"/>
        </w:rPr>
        <w:t>)</w:t>
      </w:r>
      <w:r w:rsidRPr="00690407">
        <w:rPr>
          <w:rFonts w:eastAsia="Arial Unicode MS" w:cs="Times New Roman"/>
          <w:szCs w:val="28"/>
        </w:rPr>
        <w:t xml:space="preserve"> </w:t>
      </w:r>
      <w:r w:rsidRPr="004705EF">
        <w:rPr>
          <w:rFonts w:eastAsia="Arial Unicode MS" w:cs="Times New Roman"/>
          <w:szCs w:val="28"/>
        </w:rPr>
        <w:t>и</w:t>
      </w:r>
      <w:r w:rsidR="000D249C">
        <w:rPr>
          <w:rFonts w:eastAsia="Arial Unicode MS" w:cs="Times New Roman"/>
          <w:szCs w:val="28"/>
        </w:rPr>
        <w:t>ли</w:t>
      </w:r>
      <w:r w:rsidRPr="004705EF">
        <w:rPr>
          <w:rFonts w:eastAsia="Arial Unicode MS" w:cs="Times New Roman"/>
          <w:szCs w:val="28"/>
        </w:rPr>
        <w:t xml:space="preserve"> (2) </w:t>
      </w:r>
      <w:r w:rsidR="000D249C">
        <w:rPr>
          <w:rFonts w:eastAsia="Arial Unicode MS" w:cs="Times New Roman"/>
          <w:szCs w:val="28"/>
        </w:rPr>
        <w:t xml:space="preserve">его использование для </w:t>
      </w:r>
      <w:r w:rsidRPr="004705EF">
        <w:rPr>
          <w:rFonts w:eastAsia="Arial Unicode MS" w:cs="Times New Roman"/>
          <w:szCs w:val="28"/>
        </w:rPr>
        <w:t>производств</w:t>
      </w:r>
      <w:r w:rsidR="000D249C">
        <w:rPr>
          <w:rFonts w:eastAsia="Arial Unicode MS" w:cs="Times New Roman"/>
          <w:szCs w:val="28"/>
        </w:rPr>
        <w:t>а</w:t>
      </w:r>
      <w:r w:rsidRPr="004705EF">
        <w:rPr>
          <w:rFonts w:eastAsia="Arial Unicode MS" w:cs="Times New Roman"/>
          <w:szCs w:val="28"/>
        </w:rPr>
        <w:t xml:space="preserve"> СПГ </w:t>
      </w:r>
      <w:r w:rsidR="00095EB1" w:rsidRPr="00095EB1">
        <w:rPr>
          <w:rFonts w:eastAsia="Arial Unicode MS" w:cs="Times New Roman"/>
          <w:color w:val="0000FF"/>
          <w:szCs w:val="28"/>
        </w:rPr>
        <w:t xml:space="preserve">(крупнотоннажные проекты, поставки </w:t>
      </w:r>
      <w:r w:rsidR="00596096">
        <w:rPr>
          <w:rFonts w:eastAsia="Arial Unicode MS" w:cs="Times New Roman"/>
          <w:color w:val="0000FF"/>
          <w:szCs w:val="28"/>
        </w:rPr>
        <w:t xml:space="preserve">продукции </w:t>
      </w:r>
      <w:r w:rsidR="00095EB1" w:rsidRPr="00095EB1">
        <w:rPr>
          <w:rFonts w:eastAsia="Arial Unicode MS" w:cs="Times New Roman"/>
          <w:color w:val="0000FF"/>
          <w:szCs w:val="28"/>
        </w:rPr>
        <w:t>на экспорт)</w:t>
      </w:r>
      <w:r w:rsidRPr="004705EF">
        <w:rPr>
          <w:rFonts w:eastAsia="Arial Unicode MS" w:cs="Times New Roman"/>
          <w:szCs w:val="28"/>
        </w:rPr>
        <w:t>.</w:t>
      </w:r>
      <w:r w:rsidR="00945216">
        <w:rPr>
          <w:rFonts w:eastAsia="Arial Unicode MS" w:cs="Times New Roman"/>
          <w:szCs w:val="28"/>
        </w:rPr>
        <w:t xml:space="preserve"> </w:t>
      </w:r>
      <w:r w:rsidR="00945216" w:rsidRPr="004705EF">
        <w:rPr>
          <w:rFonts w:eastAsia="Arial Unicode MS" w:cs="Times New Roman"/>
          <w:szCs w:val="28"/>
        </w:rPr>
        <w:t xml:space="preserve">Следует отметить, что все варианты </w:t>
      </w:r>
      <w:r w:rsidR="00945216" w:rsidRPr="00A92E29">
        <w:rPr>
          <w:rFonts w:eastAsia="Arial Unicode MS" w:cs="Times New Roman"/>
          <w:szCs w:val="28"/>
        </w:rPr>
        <w:t xml:space="preserve">кроме 1.1 и 2.1 являются проектами </w:t>
      </w:r>
      <w:r w:rsidR="00945216" w:rsidRPr="00A92E29">
        <w:rPr>
          <w:noProof/>
        </w:rPr>
        <w:t>производства высокотехнологичного газа</w:t>
      </w:r>
      <w:r w:rsidR="00095EB1" w:rsidRPr="00A92E29">
        <w:rPr>
          <w:noProof/>
        </w:rPr>
        <w:t xml:space="preserve"> </w:t>
      </w:r>
      <w:r w:rsidR="00095EB1" w:rsidRPr="00A92E29">
        <w:rPr>
          <w:rFonts w:eastAsia="Arial Unicode MS" w:cs="Times New Roman"/>
          <w:szCs w:val="28"/>
        </w:rPr>
        <w:t>(табл. 1)</w:t>
      </w:r>
      <w:r w:rsidR="00945216" w:rsidRPr="00A92E29">
        <w:rPr>
          <w:noProof/>
        </w:rPr>
        <w:t>.</w:t>
      </w:r>
    </w:p>
    <w:p w14:paraId="30F36886" w14:textId="7AE3D6EB" w:rsidR="00AE4FAE" w:rsidRPr="004705EF" w:rsidRDefault="00AE4FAE" w:rsidP="00AE4FAE">
      <w:pPr>
        <w:spacing w:before="120" w:after="120"/>
        <w:rPr>
          <w:rFonts w:eastAsia="Arial Unicode MS" w:cs="Times New Roman"/>
          <w:szCs w:val="28"/>
        </w:rPr>
      </w:pPr>
      <w:r w:rsidRPr="004705EF">
        <w:rPr>
          <w:rFonts w:eastAsia="Arial Unicode MS" w:cs="Times New Roman"/>
          <w:szCs w:val="28"/>
        </w:rPr>
        <w:t>Табл</w:t>
      </w:r>
      <w:r w:rsidR="0068067C">
        <w:rPr>
          <w:rFonts w:eastAsia="Arial Unicode MS" w:cs="Times New Roman"/>
          <w:szCs w:val="28"/>
        </w:rPr>
        <w:t>.</w:t>
      </w:r>
      <w:r w:rsidRPr="004705EF">
        <w:rPr>
          <w:rFonts w:eastAsia="Arial Unicode MS" w:cs="Times New Roman"/>
          <w:szCs w:val="28"/>
        </w:rPr>
        <w:t xml:space="preserve"> 1</w:t>
      </w:r>
      <w:r w:rsidR="0068067C">
        <w:rPr>
          <w:rFonts w:eastAsia="Arial Unicode MS" w:cs="Times New Roman"/>
          <w:szCs w:val="28"/>
        </w:rPr>
        <w:t>.</w:t>
      </w:r>
      <w:r w:rsidRPr="004705EF">
        <w:rPr>
          <w:rFonts w:eastAsia="Arial Unicode MS" w:cs="Times New Roman"/>
          <w:szCs w:val="28"/>
        </w:rPr>
        <w:t xml:space="preserve"> Сценарии и варианты разработки</w:t>
      </w:r>
      <w:r w:rsidR="004E73E7">
        <w:rPr>
          <w:rFonts w:eastAsia="Arial Unicode MS" w:cs="Times New Roman"/>
          <w:szCs w:val="28"/>
        </w:rPr>
        <w:t xml:space="preserve"> запасов</w:t>
      </w:r>
      <w:r w:rsidRPr="004705EF">
        <w:rPr>
          <w:rFonts w:eastAsia="Arial Unicode MS" w:cs="Times New Roman"/>
          <w:szCs w:val="28"/>
        </w:rPr>
        <w:t xml:space="preserve"> и постав</w:t>
      </w:r>
      <w:r w:rsidR="000D249C">
        <w:rPr>
          <w:rFonts w:eastAsia="Arial Unicode MS" w:cs="Times New Roman"/>
          <w:szCs w:val="28"/>
        </w:rPr>
        <w:t>ки</w:t>
      </w:r>
      <w:r w:rsidRPr="004705EF">
        <w:rPr>
          <w:rFonts w:eastAsia="Arial Unicode MS" w:cs="Times New Roman"/>
          <w:szCs w:val="28"/>
        </w:rPr>
        <w:t xml:space="preserve"> газа</w:t>
      </w:r>
      <w:r w:rsidR="000D249C">
        <w:rPr>
          <w:rFonts w:eastAsia="Arial Unicode MS" w:cs="Times New Roman"/>
          <w:szCs w:val="28"/>
        </w:rPr>
        <w:t xml:space="preserve"> на рынок</w:t>
      </w:r>
    </w:p>
    <w:tbl>
      <w:tblPr>
        <w:tblStyle w:val="af"/>
        <w:tblW w:w="5000" w:type="pct"/>
        <w:tblLook w:val="04A0" w:firstRow="1" w:lastRow="0" w:firstColumn="1" w:lastColumn="0" w:noHBand="0" w:noVBand="1"/>
      </w:tblPr>
      <w:tblGrid>
        <w:gridCol w:w="2690"/>
        <w:gridCol w:w="2124"/>
        <w:gridCol w:w="2407"/>
        <w:gridCol w:w="2407"/>
      </w:tblGrid>
      <w:tr w:rsidR="00AE4FAE" w:rsidRPr="004705EF" w14:paraId="34AF4535" w14:textId="77777777" w:rsidTr="000808B1">
        <w:tc>
          <w:tcPr>
            <w:tcW w:w="1397" w:type="pct"/>
            <w:shd w:val="clear" w:color="auto" w:fill="auto"/>
            <w:vAlign w:val="center"/>
          </w:tcPr>
          <w:p w14:paraId="04FDA643" w14:textId="136E7CFC" w:rsidR="00AE4FAE" w:rsidRPr="004705EF" w:rsidRDefault="00AE4FAE" w:rsidP="00945216">
            <w:pPr>
              <w:ind w:firstLine="22"/>
              <w:jc w:val="left"/>
              <w:rPr>
                <w:rFonts w:cs="Times New Roman"/>
                <w:bCs/>
                <w:sz w:val="24"/>
                <w:szCs w:val="24"/>
              </w:rPr>
            </w:pPr>
            <w:r w:rsidRPr="004705EF">
              <w:rPr>
                <w:rFonts w:cs="Times New Roman"/>
                <w:bCs/>
                <w:sz w:val="24"/>
                <w:szCs w:val="24"/>
              </w:rPr>
              <w:t>Сценарии</w:t>
            </w:r>
            <w:r w:rsidR="00945216">
              <w:rPr>
                <w:rFonts w:cs="Times New Roman"/>
                <w:bCs/>
                <w:sz w:val="24"/>
                <w:szCs w:val="24"/>
              </w:rPr>
              <w:t>: о</w:t>
            </w:r>
            <w:r w:rsidR="004E73E7">
              <w:rPr>
                <w:rFonts w:cs="Times New Roman"/>
                <w:bCs/>
                <w:sz w:val="24"/>
                <w:szCs w:val="24"/>
              </w:rPr>
              <w:t>своение з</w:t>
            </w:r>
            <w:r w:rsidRPr="004705EF">
              <w:rPr>
                <w:rFonts w:cs="Times New Roman"/>
                <w:bCs/>
                <w:sz w:val="24"/>
                <w:szCs w:val="24"/>
              </w:rPr>
              <w:t>алеж</w:t>
            </w:r>
            <w:r w:rsidR="004E73E7">
              <w:rPr>
                <w:rFonts w:cs="Times New Roman"/>
                <w:bCs/>
                <w:sz w:val="24"/>
                <w:szCs w:val="24"/>
              </w:rPr>
              <w:t>ей</w:t>
            </w:r>
          </w:p>
        </w:tc>
        <w:tc>
          <w:tcPr>
            <w:tcW w:w="1103" w:type="pct"/>
            <w:shd w:val="clear" w:color="auto" w:fill="auto"/>
            <w:vAlign w:val="center"/>
          </w:tcPr>
          <w:p w14:paraId="11E01A0E" w14:textId="77777777" w:rsidR="00AE4FAE" w:rsidRPr="004705EF" w:rsidRDefault="00AE4FAE" w:rsidP="000808B1">
            <w:pPr>
              <w:ind w:firstLine="22"/>
              <w:jc w:val="center"/>
              <w:rPr>
                <w:rFonts w:cs="Times New Roman"/>
                <w:bCs/>
                <w:sz w:val="24"/>
                <w:szCs w:val="24"/>
              </w:rPr>
            </w:pPr>
            <w:r w:rsidRPr="004705EF">
              <w:rPr>
                <w:rFonts w:cs="Times New Roman"/>
                <w:bCs/>
                <w:sz w:val="24"/>
                <w:szCs w:val="24"/>
              </w:rPr>
              <w:t>Тип запасов</w:t>
            </w:r>
          </w:p>
        </w:tc>
        <w:tc>
          <w:tcPr>
            <w:tcW w:w="1250" w:type="pct"/>
            <w:shd w:val="clear" w:color="auto" w:fill="auto"/>
            <w:vAlign w:val="center"/>
          </w:tcPr>
          <w:p w14:paraId="5D544A06" w14:textId="77777777" w:rsidR="00AE4FAE" w:rsidRPr="004705EF" w:rsidRDefault="00AE4FAE" w:rsidP="000808B1">
            <w:pPr>
              <w:ind w:firstLine="22"/>
              <w:jc w:val="center"/>
              <w:rPr>
                <w:rFonts w:cs="Times New Roman"/>
                <w:bCs/>
                <w:sz w:val="24"/>
                <w:szCs w:val="24"/>
              </w:rPr>
            </w:pPr>
            <w:r w:rsidRPr="004705EF">
              <w:rPr>
                <w:rFonts w:cs="Times New Roman"/>
                <w:bCs/>
                <w:sz w:val="24"/>
                <w:szCs w:val="24"/>
              </w:rPr>
              <w:t>Трубопроводный газ</w:t>
            </w:r>
          </w:p>
        </w:tc>
        <w:tc>
          <w:tcPr>
            <w:tcW w:w="1250" w:type="pct"/>
            <w:shd w:val="clear" w:color="auto" w:fill="auto"/>
            <w:vAlign w:val="center"/>
          </w:tcPr>
          <w:p w14:paraId="05A8B834" w14:textId="2460F2C5" w:rsidR="00AE4FAE" w:rsidRPr="004705EF" w:rsidRDefault="00066A0B" w:rsidP="00066A0B">
            <w:pPr>
              <w:ind w:firstLine="22"/>
              <w:jc w:val="center"/>
              <w:rPr>
                <w:rFonts w:cs="Times New Roman"/>
                <w:bCs/>
                <w:sz w:val="24"/>
                <w:szCs w:val="24"/>
              </w:rPr>
            </w:pPr>
            <w:r>
              <w:rPr>
                <w:rFonts w:cs="Times New Roman"/>
                <w:bCs/>
                <w:sz w:val="24"/>
                <w:szCs w:val="24"/>
              </w:rPr>
              <w:t xml:space="preserve">Производство </w:t>
            </w:r>
            <w:r w:rsidR="00AE4FAE" w:rsidRPr="004705EF">
              <w:rPr>
                <w:rFonts w:cs="Times New Roman"/>
                <w:bCs/>
                <w:sz w:val="24"/>
                <w:szCs w:val="24"/>
              </w:rPr>
              <w:t>СПГ</w:t>
            </w:r>
          </w:p>
        </w:tc>
      </w:tr>
      <w:tr w:rsidR="00AE4FAE" w:rsidRPr="004705EF" w14:paraId="3586189B" w14:textId="77777777" w:rsidTr="000808B1">
        <w:tc>
          <w:tcPr>
            <w:tcW w:w="1397" w:type="pct"/>
            <w:vAlign w:val="center"/>
          </w:tcPr>
          <w:p w14:paraId="42FEE370" w14:textId="77777777" w:rsidR="00AE4FAE" w:rsidRPr="004705EF" w:rsidRDefault="00AE4FAE" w:rsidP="000808B1">
            <w:pPr>
              <w:ind w:firstLine="22"/>
              <w:jc w:val="left"/>
              <w:rPr>
                <w:rFonts w:cs="Times New Roman"/>
                <w:sz w:val="24"/>
                <w:szCs w:val="24"/>
              </w:rPr>
            </w:pPr>
            <w:r w:rsidRPr="004705EF">
              <w:rPr>
                <w:rFonts w:cs="Times New Roman"/>
                <w:sz w:val="24"/>
                <w:szCs w:val="24"/>
              </w:rPr>
              <w:t>Сеноманские</w:t>
            </w:r>
          </w:p>
        </w:tc>
        <w:tc>
          <w:tcPr>
            <w:tcW w:w="1103" w:type="pct"/>
            <w:shd w:val="clear" w:color="auto" w:fill="auto"/>
          </w:tcPr>
          <w:p w14:paraId="476809B7" w14:textId="77777777" w:rsidR="00AE4FAE" w:rsidRPr="004705EF" w:rsidRDefault="00AE4FAE" w:rsidP="000808B1">
            <w:pPr>
              <w:ind w:firstLine="22"/>
              <w:jc w:val="center"/>
              <w:rPr>
                <w:rFonts w:cs="Times New Roman"/>
                <w:sz w:val="24"/>
                <w:szCs w:val="24"/>
              </w:rPr>
            </w:pPr>
            <w:r w:rsidRPr="004705EF">
              <w:rPr>
                <w:rFonts w:cs="Times New Roman"/>
                <w:sz w:val="24"/>
                <w:szCs w:val="24"/>
              </w:rPr>
              <w:t xml:space="preserve">Традиционные </w:t>
            </w:r>
          </w:p>
        </w:tc>
        <w:tc>
          <w:tcPr>
            <w:tcW w:w="1250" w:type="pct"/>
            <w:shd w:val="clear" w:color="auto" w:fill="auto"/>
          </w:tcPr>
          <w:p w14:paraId="7D499D00" w14:textId="7ACC5FB1" w:rsidR="00AE4FAE" w:rsidRPr="004705EF" w:rsidRDefault="00945216" w:rsidP="00AA45A0">
            <w:pPr>
              <w:ind w:firstLine="22"/>
              <w:jc w:val="center"/>
              <w:rPr>
                <w:rFonts w:cs="Times New Roman"/>
                <w:sz w:val="24"/>
                <w:szCs w:val="24"/>
              </w:rPr>
            </w:pPr>
            <w:r>
              <w:rPr>
                <w:rFonts w:cs="Times New Roman"/>
                <w:sz w:val="24"/>
                <w:szCs w:val="24"/>
              </w:rPr>
              <w:t>1</w:t>
            </w:r>
            <w:r w:rsidR="00AE4FAE" w:rsidRPr="004705EF">
              <w:rPr>
                <w:rFonts w:cs="Times New Roman"/>
                <w:sz w:val="24"/>
                <w:szCs w:val="24"/>
              </w:rPr>
              <w:t>.1.</w:t>
            </w:r>
            <w:r w:rsidR="004E73E7">
              <w:rPr>
                <w:rFonts w:cs="Times New Roman"/>
                <w:sz w:val="24"/>
                <w:szCs w:val="24"/>
              </w:rPr>
              <w:t xml:space="preserve"> </w:t>
            </w:r>
            <w:r w:rsidR="003D6CF1">
              <w:rPr>
                <w:rFonts w:cs="Times New Roman"/>
                <w:sz w:val="24"/>
                <w:szCs w:val="24"/>
              </w:rPr>
              <w:t>Сеноман</w:t>
            </w:r>
            <w:r w:rsidR="00AA45A0">
              <w:rPr>
                <w:rFonts w:cs="Times New Roman"/>
                <w:sz w:val="24"/>
                <w:szCs w:val="24"/>
              </w:rPr>
              <w:t>/</w:t>
            </w:r>
            <w:r w:rsidR="003D6CF1">
              <w:rPr>
                <w:rFonts w:cs="Times New Roman"/>
                <w:sz w:val="24"/>
                <w:szCs w:val="24"/>
              </w:rPr>
              <w:t>ЕСГ</w:t>
            </w:r>
          </w:p>
        </w:tc>
        <w:tc>
          <w:tcPr>
            <w:tcW w:w="1250" w:type="pct"/>
            <w:shd w:val="clear" w:color="auto" w:fill="auto"/>
          </w:tcPr>
          <w:p w14:paraId="0C18FBF2" w14:textId="1FE9A1BA" w:rsidR="00AE4FAE" w:rsidRPr="004705EF" w:rsidRDefault="00945216" w:rsidP="00945216">
            <w:pPr>
              <w:ind w:firstLine="22"/>
              <w:jc w:val="center"/>
              <w:rPr>
                <w:rFonts w:cs="Times New Roman"/>
                <w:sz w:val="24"/>
                <w:szCs w:val="24"/>
              </w:rPr>
            </w:pPr>
            <w:r>
              <w:rPr>
                <w:rFonts w:cs="Times New Roman"/>
                <w:sz w:val="24"/>
                <w:szCs w:val="24"/>
              </w:rPr>
              <w:t>1</w:t>
            </w:r>
            <w:r w:rsidR="00AE4FAE" w:rsidRPr="004705EF">
              <w:rPr>
                <w:rFonts w:cs="Times New Roman"/>
                <w:sz w:val="24"/>
                <w:szCs w:val="24"/>
              </w:rPr>
              <w:t>.2.</w:t>
            </w:r>
            <w:r w:rsidR="003D6CF1">
              <w:rPr>
                <w:rFonts w:cs="Times New Roman"/>
                <w:sz w:val="24"/>
                <w:szCs w:val="24"/>
              </w:rPr>
              <w:t xml:space="preserve"> Сеноман</w:t>
            </w:r>
            <w:r w:rsidR="0092081B">
              <w:rPr>
                <w:rFonts w:cs="Times New Roman"/>
                <w:sz w:val="24"/>
                <w:szCs w:val="24"/>
              </w:rPr>
              <w:t>/</w:t>
            </w:r>
            <w:r w:rsidR="003D6CF1">
              <w:rPr>
                <w:rFonts w:cs="Times New Roman"/>
                <w:sz w:val="24"/>
                <w:szCs w:val="24"/>
              </w:rPr>
              <w:t>СПГ</w:t>
            </w:r>
          </w:p>
        </w:tc>
      </w:tr>
      <w:tr w:rsidR="00AE4FAE" w:rsidRPr="004705EF" w14:paraId="4F7D42B0" w14:textId="77777777" w:rsidTr="000808B1">
        <w:tc>
          <w:tcPr>
            <w:tcW w:w="1397" w:type="pct"/>
            <w:vAlign w:val="center"/>
          </w:tcPr>
          <w:p w14:paraId="746AB3CB" w14:textId="77777777" w:rsidR="00AE4FAE" w:rsidRPr="004705EF" w:rsidRDefault="00AE4FAE" w:rsidP="000808B1">
            <w:pPr>
              <w:ind w:firstLine="22"/>
              <w:jc w:val="left"/>
              <w:rPr>
                <w:rFonts w:cs="Times New Roman"/>
                <w:sz w:val="24"/>
                <w:szCs w:val="24"/>
              </w:rPr>
            </w:pPr>
            <w:r w:rsidRPr="004705EF">
              <w:rPr>
                <w:rFonts w:cs="Times New Roman"/>
                <w:sz w:val="24"/>
                <w:szCs w:val="24"/>
              </w:rPr>
              <w:t>Неокомские</w:t>
            </w:r>
          </w:p>
        </w:tc>
        <w:tc>
          <w:tcPr>
            <w:tcW w:w="1103" w:type="pct"/>
            <w:shd w:val="clear" w:color="auto" w:fill="auto"/>
          </w:tcPr>
          <w:p w14:paraId="3C806982" w14:textId="77777777" w:rsidR="00AE4FAE" w:rsidRPr="004705EF" w:rsidRDefault="00AE4FAE" w:rsidP="000808B1">
            <w:pPr>
              <w:ind w:firstLine="22"/>
              <w:jc w:val="center"/>
              <w:rPr>
                <w:rFonts w:cs="Times New Roman"/>
                <w:sz w:val="24"/>
                <w:szCs w:val="24"/>
              </w:rPr>
            </w:pPr>
            <w:r w:rsidRPr="004705EF">
              <w:rPr>
                <w:rFonts w:cs="Times New Roman"/>
                <w:sz w:val="24"/>
                <w:szCs w:val="24"/>
              </w:rPr>
              <w:t xml:space="preserve">Традиционные </w:t>
            </w:r>
          </w:p>
        </w:tc>
        <w:tc>
          <w:tcPr>
            <w:tcW w:w="1250" w:type="pct"/>
            <w:shd w:val="clear" w:color="auto" w:fill="auto"/>
          </w:tcPr>
          <w:p w14:paraId="255C7652" w14:textId="24151904" w:rsidR="00AE4FAE" w:rsidRPr="004705EF" w:rsidRDefault="00945216" w:rsidP="00945216">
            <w:pPr>
              <w:ind w:firstLine="22"/>
              <w:jc w:val="center"/>
              <w:rPr>
                <w:rFonts w:cs="Times New Roman"/>
                <w:sz w:val="24"/>
                <w:szCs w:val="24"/>
              </w:rPr>
            </w:pPr>
            <w:r>
              <w:rPr>
                <w:rFonts w:cs="Times New Roman"/>
                <w:sz w:val="24"/>
                <w:szCs w:val="24"/>
              </w:rPr>
              <w:t>2</w:t>
            </w:r>
            <w:r w:rsidR="00AE4FAE" w:rsidRPr="004705EF">
              <w:rPr>
                <w:rFonts w:cs="Times New Roman"/>
                <w:sz w:val="24"/>
                <w:szCs w:val="24"/>
              </w:rPr>
              <w:t>.1.</w:t>
            </w:r>
            <w:r w:rsidR="003D6CF1">
              <w:rPr>
                <w:rFonts w:cs="Times New Roman"/>
                <w:sz w:val="24"/>
                <w:szCs w:val="24"/>
              </w:rPr>
              <w:t xml:space="preserve"> Неоком</w:t>
            </w:r>
            <w:r w:rsidR="00AA45A0">
              <w:rPr>
                <w:rFonts w:cs="Times New Roman"/>
                <w:sz w:val="24"/>
                <w:szCs w:val="24"/>
              </w:rPr>
              <w:t>/</w:t>
            </w:r>
            <w:r w:rsidR="003D6CF1">
              <w:rPr>
                <w:rFonts w:cs="Times New Roman"/>
                <w:sz w:val="24"/>
                <w:szCs w:val="24"/>
              </w:rPr>
              <w:t>ЕСГ</w:t>
            </w:r>
          </w:p>
        </w:tc>
        <w:tc>
          <w:tcPr>
            <w:tcW w:w="1250" w:type="pct"/>
            <w:shd w:val="clear" w:color="auto" w:fill="auto"/>
          </w:tcPr>
          <w:p w14:paraId="6733F650" w14:textId="1E4BB9B7" w:rsidR="00AE4FAE" w:rsidRPr="004705EF" w:rsidRDefault="00945216" w:rsidP="00945216">
            <w:pPr>
              <w:ind w:firstLine="22"/>
              <w:jc w:val="center"/>
              <w:rPr>
                <w:rFonts w:cs="Times New Roman"/>
                <w:sz w:val="24"/>
                <w:szCs w:val="24"/>
              </w:rPr>
            </w:pPr>
            <w:r>
              <w:rPr>
                <w:rFonts w:cs="Times New Roman"/>
                <w:sz w:val="24"/>
                <w:szCs w:val="24"/>
              </w:rPr>
              <w:t>2</w:t>
            </w:r>
            <w:r w:rsidR="00AE4FAE" w:rsidRPr="004705EF">
              <w:rPr>
                <w:rFonts w:cs="Times New Roman"/>
                <w:sz w:val="24"/>
                <w:szCs w:val="24"/>
              </w:rPr>
              <w:t>.2.</w:t>
            </w:r>
            <w:r w:rsidR="003D6CF1">
              <w:rPr>
                <w:rFonts w:cs="Times New Roman"/>
                <w:sz w:val="24"/>
                <w:szCs w:val="24"/>
              </w:rPr>
              <w:t xml:space="preserve"> Неоком</w:t>
            </w:r>
            <w:r w:rsidR="0092081B">
              <w:rPr>
                <w:rFonts w:cs="Times New Roman"/>
                <w:sz w:val="24"/>
                <w:szCs w:val="24"/>
              </w:rPr>
              <w:t>/</w:t>
            </w:r>
            <w:r w:rsidR="003D6CF1">
              <w:rPr>
                <w:rFonts w:cs="Times New Roman"/>
                <w:sz w:val="24"/>
                <w:szCs w:val="24"/>
              </w:rPr>
              <w:t>СПГ</w:t>
            </w:r>
          </w:p>
        </w:tc>
      </w:tr>
      <w:tr w:rsidR="00AE4FAE" w:rsidRPr="004705EF" w14:paraId="0CA1A9A7" w14:textId="77777777" w:rsidTr="000808B1">
        <w:tc>
          <w:tcPr>
            <w:tcW w:w="1397" w:type="pct"/>
            <w:vAlign w:val="center"/>
          </w:tcPr>
          <w:p w14:paraId="13743BCC" w14:textId="77777777" w:rsidR="00AE4FAE" w:rsidRPr="004705EF" w:rsidRDefault="00AE4FAE" w:rsidP="000808B1">
            <w:pPr>
              <w:ind w:firstLine="22"/>
              <w:jc w:val="left"/>
              <w:rPr>
                <w:rFonts w:cs="Times New Roman"/>
                <w:sz w:val="24"/>
                <w:szCs w:val="24"/>
              </w:rPr>
            </w:pPr>
            <w:r w:rsidRPr="004705EF">
              <w:rPr>
                <w:rFonts w:cs="Times New Roman"/>
                <w:sz w:val="24"/>
                <w:szCs w:val="24"/>
              </w:rPr>
              <w:t>Ачимовские и юрские</w:t>
            </w:r>
          </w:p>
        </w:tc>
        <w:tc>
          <w:tcPr>
            <w:tcW w:w="1103" w:type="pct"/>
            <w:shd w:val="clear" w:color="auto" w:fill="auto"/>
          </w:tcPr>
          <w:p w14:paraId="6D26BD20" w14:textId="77777777" w:rsidR="00AE4FAE" w:rsidRPr="004705EF" w:rsidRDefault="00AE4FAE" w:rsidP="000808B1">
            <w:pPr>
              <w:ind w:firstLine="22"/>
              <w:jc w:val="center"/>
              <w:rPr>
                <w:rFonts w:cs="Times New Roman"/>
                <w:sz w:val="24"/>
                <w:szCs w:val="24"/>
              </w:rPr>
            </w:pPr>
            <w:r w:rsidRPr="004705EF">
              <w:rPr>
                <w:rFonts w:cs="Times New Roman"/>
                <w:sz w:val="24"/>
                <w:szCs w:val="24"/>
              </w:rPr>
              <w:t>ТРИЗ</w:t>
            </w:r>
          </w:p>
        </w:tc>
        <w:tc>
          <w:tcPr>
            <w:tcW w:w="1250" w:type="pct"/>
            <w:shd w:val="clear" w:color="auto" w:fill="auto"/>
          </w:tcPr>
          <w:p w14:paraId="0232616D" w14:textId="2289FFE9" w:rsidR="00AE4FAE" w:rsidRPr="004705EF" w:rsidRDefault="00945216" w:rsidP="00945216">
            <w:pPr>
              <w:ind w:firstLine="22"/>
              <w:jc w:val="center"/>
              <w:rPr>
                <w:rFonts w:cs="Times New Roman"/>
                <w:sz w:val="24"/>
                <w:szCs w:val="24"/>
              </w:rPr>
            </w:pPr>
            <w:r>
              <w:rPr>
                <w:rFonts w:cs="Times New Roman"/>
                <w:sz w:val="24"/>
                <w:szCs w:val="24"/>
              </w:rPr>
              <w:t>3</w:t>
            </w:r>
            <w:r w:rsidR="00AE4FAE" w:rsidRPr="004705EF">
              <w:rPr>
                <w:rFonts w:cs="Times New Roman"/>
                <w:sz w:val="24"/>
                <w:szCs w:val="24"/>
              </w:rPr>
              <w:t>.1.</w:t>
            </w:r>
            <w:r w:rsidR="004E73E7">
              <w:rPr>
                <w:rFonts w:cs="Times New Roman"/>
                <w:sz w:val="24"/>
                <w:szCs w:val="24"/>
              </w:rPr>
              <w:t xml:space="preserve"> </w:t>
            </w:r>
            <w:r w:rsidR="003D6CF1">
              <w:rPr>
                <w:rFonts w:cs="Times New Roman"/>
                <w:sz w:val="24"/>
                <w:szCs w:val="24"/>
              </w:rPr>
              <w:t>Ачим</w:t>
            </w:r>
            <w:r w:rsidR="00AA45A0">
              <w:rPr>
                <w:rFonts w:cs="Times New Roman"/>
                <w:sz w:val="24"/>
                <w:szCs w:val="24"/>
              </w:rPr>
              <w:t>/</w:t>
            </w:r>
            <w:r w:rsidR="003D6CF1">
              <w:rPr>
                <w:rFonts w:cs="Times New Roman"/>
                <w:sz w:val="24"/>
                <w:szCs w:val="24"/>
              </w:rPr>
              <w:t>ЕСГ</w:t>
            </w:r>
          </w:p>
        </w:tc>
        <w:tc>
          <w:tcPr>
            <w:tcW w:w="1250" w:type="pct"/>
            <w:shd w:val="clear" w:color="auto" w:fill="auto"/>
          </w:tcPr>
          <w:p w14:paraId="61D03C2E" w14:textId="75207E11" w:rsidR="00AE4FAE" w:rsidRPr="004705EF" w:rsidRDefault="00945216" w:rsidP="00945216">
            <w:pPr>
              <w:ind w:firstLine="22"/>
              <w:jc w:val="center"/>
              <w:rPr>
                <w:rFonts w:cs="Times New Roman"/>
                <w:sz w:val="24"/>
                <w:szCs w:val="24"/>
              </w:rPr>
            </w:pPr>
            <w:r>
              <w:rPr>
                <w:rFonts w:cs="Times New Roman"/>
                <w:sz w:val="24"/>
                <w:szCs w:val="24"/>
              </w:rPr>
              <w:t>3</w:t>
            </w:r>
            <w:r w:rsidR="00AE4FAE" w:rsidRPr="004705EF">
              <w:rPr>
                <w:rFonts w:cs="Times New Roman"/>
                <w:sz w:val="24"/>
                <w:szCs w:val="24"/>
              </w:rPr>
              <w:t>.2.</w:t>
            </w:r>
            <w:r w:rsidR="004E73E7">
              <w:rPr>
                <w:rFonts w:cs="Times New Roman"/>
                <w:sz w:val="24"/>
                <w:szCs w:val="24"/>
              </w:rPr>
              <w:t xml:space="preserve"> </w:t>
            </w:r>
            <w:r w:rsidR="003D6CF1">
              <w:rPr>
                <w:rFonts w:cs="Times New Roman"/>
                <w:sz w:val="24"/>
                <w:szCs w:val="24"/>
              </w:rPr>
              <w:t>Ачим</w:t>
            </w:r>
            <w:r w:rsidR="0092081B">
              <w:rPr>
                <w:rFonts w:cs="Times New Roman"/>
                <w:sz w:val="24"/>
                <w:szCs w:val="24"/>
              </w:rPr>
              <w:t>/</w:t>
            </w:r>
            <w:r w:rsidR="003D6CF1">
              <w:rPr>
                <w:rFonts w:cs="Times New Roman"/>
                <w:sz w:val="24"/>
                <w:szCs w:val="24"/>
              </w:rPr>
              <w:t>СПГ</w:t>
            </w:r>
          </w:p>
        </w:tc>
      </w:tr>
    </w:tbl>
    <w:p w14:paraId="30F6163A" w14:textId="0FEF75DC" w:rsidR="00AE4FAE" w:rsidRPr="001A0C09" w:rsidRDefault="00AE4FAE" w:rsidP="00AE4FAE">
      <w:pPr>
        <w:spacing w:before="120" w:after="0"/>
        <w:rPr>
          <w:rFonts w:eastAsia="Arial Unicode MS" w:cs="Times New Roman"/>
          <w:szCs w:val="28"/>
        </w:rPr>
      </w:pPr>
    </w:p>
    <w:p w14:paraId="728FF0DD" w14:textId="77777777" w:rsidR="00014845" w:rsidRDefault="00014845" w:rsidP="00014845">
      <w:pPr>
        <w:pStyle w:val="3"/>
        <w:rPr>
          <w:rFonts w:eastAsia="Arial Unicode MS"/>
        </w:rPr>
      </w:pPr>
      <w:bookmarkStart w:id="9" w:name="_Toc170485953"/>
      <w:r>
        <w:rPr>
          <w:rFonts w:eastAsia="Arial Unicode MS"/>
        </w:rPr>
        <w:t>Результаты проведенных расчетов</w:t>
      </w:r>
      <w:bookmarkEnd w:id="9"/>
    </w:p>
    <w:p w14:paraId="454FC1C6" w14:textId="219652BA" w:rsidR="000D249C" w:rsidRPr="000D249C" w:rsidRDefault="00280EAB" w:rsidP="00AE4FAE">
      <w:pPr>
        <w:spacing w:before="120" w:after="120"/>
        <w:rPr>
          <w:rFonts w:eastAsia="Arial Unicode MS" w:cs="Times New Roman"/>
          <w:szCs w:val="28"/>
        </w:rPr>
      </w:pPr>
      <w:r>
        <w:rPr>
          <w:rFonts w:eastAsia="Arial Unicode MS" w:cs="Times New Roman"/>
          <w:szCs w:val="28"/>
        </w:rPr>
        <w:t xml:space="preserve">Проекты </w:t>
      </w:r>
      <w:r w:rsidR="00AE4FAE" w:rsidRPr="000D249C">
        <w:rPr>
          <w:rFonts w:eastAsia="Arial Unicode MS" w:cs="Times New Roman"/>
          <w:szCs w:val="28"/>
        </w:rPr>
        <w:t>добычи и производства ВТ-газа обычно характеризуются повышенным уровнем издержек, высокой капиталоемкостью. Поэтому они далеко не всегда позволяют инвесторам получить требуемый уровень рентабельности в рамках существующей системы налогообложения</w:t>
      </w:r>
      <w:r w:rsidR="00193AC4" w:rsidRPr="000D249C">
        <w:rPr>
          <w:rFonts w:eastAsia="Arial Unicode MS" w:cs="Times New Roman"/>
          <w:szCs w:val="28"/>
        </w:rPr>
        <w:t>. В</w:t>
      </w:r>
      <w:r w:rsidR="00AE4FAE" w:rsidRPr="000D249C">
        <w:rPr>
          <w:rFonts w:eastAsia="Arial Unicode MS" w:cs="Times New Roman"/>
          <w:szCs w:val="28"/>
        </w:rPr>
        <w:t xml:space="preserve"> данно</w:t>
      </w:r>
      <w:r w:rsidR="003977FD" w:rsidRPr="000D249C">
        <w:rPr>
          <w:rFonts w:eastAsia="Arial Unicode MS" w:cs="Times New Roman"/>
          <w:szCs w:val="28"/>
        </w:rPr>
        <w:t>м</w:t>
      </w:r>
      <w:r w:rsidR="00AE4FAE" w:rsidRPr="000D249C">
        <w:rPr>
          <w:rFonts w:eastAsia="Arial Unicode MS" w:cs="Times New Roman"/>
          <w:szCs w:val="28"/>
        </w:rPr>
        <w:t xml:space="preserve"> исследовани</w:t>
      </w:r>
      <w:r w:rsidR="003977FD" w:rsidRPr="000D249C">
        <w:rPr>
          <w:rFonts w:eastAsia="Arial Unicode MS" w:cs="Times New Roman"/>
          <w:szCs w:val="28"/>
        </w:rPr>
        <w:t>и</w:t>
      </w:r>
      <w:r w:rsidR="00AE4FAE" w:rsidRPr="000D249C">
        <w:rPr>
          <w:rFonts w:eastAsia="Arial Unicode MS" w:cs="Times New Roman"/>
          <w:szCs w:val="28"/>
        </w:rPr>
        <w:t xml:space="preserve"> в качестве такого уровня принята ВНД </w:t>
      </w:r>
      <w:r w:rsidR="00E615AE" w:rsidRPr="000D249C">
        <w:rPr>
          <w:rFonts w:eastAsia="Arial Unicode MS" w:cs="Times New Roman"/>
          <w:szCs w:val="28"/>
        </w:rPr>
        <w:t>равная</w:t>
      </w:r>
      <w:r w:rsidR="00AE4FAE" w:rsidRPr="000D249C">
        <w:rPr>
          <w:rFonts w:eastAsia="Arial Unicode MS" w:cs="Times New Roman"/>
          <w:szCs w:val="28"/>
        </w:rPr>
        <w:t xml:space="preserve"> 15%</w:t>
      </w:r>
      <w:r w:rsidR="003700EC">
        <w:rPr>
          <w:rFonts w:eastAsia="Arial Unicode MS" w:cs="Times New Roman"/>
          <w:szCs w:val="28"/>
        </w:rPr>
        <w:t xml:space="preserve"> при цен</w:t>
      </w:r>
      <w:r w:rsidR="00631406">
        <w:rPr>
          <w:rFonts w:eastAsia="Arial Unicode MS" w:cs="Times New Roman"/>
          <w:szCs w:val="28"/>
        </w:rPr>
        <w:t>а</w:t>
      </w:r>
      <w:r w:rsidR="003700EC">
        <w:rPr>
          <w:rFonts w:eastAsia="Arial Unicode MS" w:cs="Times New Roman"/>
          <w:szCs w:val="28"/>
        </w:rPr>
        <w:t xml:space="preserve">х </w:t>
      </w:r>
      <w:r w:rsidR="00631406">
        <w:rPr>
          <w:rFonts w:eastAsia="Arial Unicode MS" w:cs="Times New Roman"/>
          <w:szCs w:val="28"/>
        </w:rPr>
        <w:t>на</w:t>
      </w:r>
      <w:r w:rsidR="003700EC">
        <w:rPr>
          <w:rFonts w:eastAsia="Arial Unicode MS" w:cs="Times New Roman"/>
          <w:szCs w:val="28"/>
        </w:rPr>
        <w:t xml:space="preserve"> </w:t>
      </w:r>
      <w:r w:rsidR="003700EC">
        <w:rPr>
          <w:rFonts w:eastAsia="Arial Unicode MS" w:cs="Times New Roman"/>
          <w:szCs w:val="28"/>
        </w:rPr>
        <w:lastRenderedPageBreak/>
        <w:t>природн</w:t>
      </w:r>
      <w:r w:rsidR="00631406">
        <w:rPr>
          <w:rFonts w:eastAsia="Arial Unicode MS" w:cs="Times New Roman"/>
          <w:szCs w:val="28"/>
        </w:rPr>
        <w:t>ый</w:t>
      </w:r>
      <w:r w:rsidR="003700EC">
        <w:rPr>
          <w:rFonts w:eastAsia="Arial Unicode MS" w:cs="Times New Roman"/>
          <w:szCs w:val="28"/>
        </w:rPr>
        <w:t xml:space="preserve"> газ</w:t>
      </w:r>
      <w:r w:rsidR="00631406">
        <w:rPr>
          <w:rFonts w:eastAsia="Arial Unicode MS" w:cs="Times New Roman"/>
          <w:szCs w:val="28"/>
        </w:rPr>
        <w:t xml:space="preserve"> на уровне</w:t>
      </w:r>
      <w:r w:rsidR="003700EC">
        <w:rPr>
          <w:rFonts w:eastAsia="Arial Unicode MS" w:cs="Times New Roman"/>
          <w:szCs w:val="28"/>
        </w:rPr>
        <w:t xml:space="preserve"> 2</w:t>
      </w:r>
      <w:r w:rsidR="00631406">
        <w:rPr>
          <w:rFonts w:eastAsia="Arial Unicode MS" w:cs="Times New Roman"/>
          <w:szCs w:val="28"/>
        </w:rPr>
        <w:t>,</w:t>
      </w:r>
      <w:r w:rsidR="003700EC">
        <w:rPr>
          <w:rFonts w:eastAsia="Arial Unicode MS" w:cs="Times New Roman"/>
          <w:szCs w:val="28"/>
        </w:rPr>
        <w:t>5</w:t>
      </w:r>
      <w:r w:rsidR="00631406">
        <w:rPr>
          <w:rFonts w:eastAsia="Arial Unicode MS" w:cs="Times New Roman"/>
          <w:szCs w:val="28"/>
        </w:rPr>
        <w:t xml:space="preserve"> тыс.</w:t>
      </w:r>
      <w:r w:rsidR="003700EC">
        <w:rPr>
          <w:rFonts w:eastAsia="Arial Unicode MS" w:cs="Times New Roman"/>
          <w:szCs w:val="28"/>
        </w:rPr>
        <w:t xml:space="preserve"> руб./тыс. м</w:t>
      </w:r>
      <w:r w:rsidR="00CA5492" w:rsidRPr="00CA5492">
        <w:rPr>
          <w:rFonts w:eastAsia="Arial Unicode MS" w:cs="Times New Roman"/>
          <w:szCs w:val="28"/>
          <w:vertAlign w:val="superscript"/>
        </w:rPr>
        <w:t>3</w:t>
      </w:r>
      <w:r w:rsidR="00631406">
        <w:rPr>
          <w:rFonts w:eastAsia="Arial Unicode MS" w:cs="Times New Roman"/>
          <w:szCs w:val="28"/>
        </w:rPr>
        <w:t>, а на</w:t>
      </w:r>
      <w:r w:rsidR="003700EC">
        <w:rPr>
          <w:rFonts w:eastAsia="Arial Unicode MS" w:cs="Times New Roman"/>
          <w:szCs w:val="28"/>
        </w:rPr>
        <w:t xml:space="preserve"> СПГ </w:t>
      </w:r>
      <w:r w:rsidR="00631406">
        <w:rPr>
          <w:rFonts w:eastAsia="Arial Unicode MS" w:cs="Times New Roman"/>
          <w:szCs w:val="28"/>
        </w:rPr>
        <w:t xml:space="preserve">– </w:t>
      </w:r>
      <w:r w:rsidR="003700EC">
        <w:rPr>
          <w:rFonts w:eastAsia="Arial Unicode MS" w:cs="Times New Roman"/>
          <w:szCs w:val="28"/>
        </w:rPr>
        <w:t>5 долл./тыс. БТЕ</w:t>
      </w:r>
      <w:r w:rsidR="00AE4FAE" w:rsidRPr="000D249C">
        <w:rPr>
          <w:rFonts w:eastAsia="Arial Unicode MS" w:cs="Times New Roman"/>
          <w:szCs w:val="28"/>
        </w:rPr>
        <w:t xml:space="preserve">, что отражает </w:t>
      </w:r>
      <w:r w:rsidR="003700EC">
        <w:rPr>
          <w:rFonts w:eastAsia="Arial Unicode MS" w:cs="Times New Roman"/>
          <w:szCs w:val="28"/>
        </w:rPr>
        <w:t>корректное соотношение между ставкой дисконтирования и уровнем цен для определения заинтересованности инвестор</w:t>
      </w:r>
      <w:r w:rsidR="00976E0A">
        <w:rPr>
          <w:rFonts w:eastAsia="Arial Unicode MS" w:cs="Times New Roman"/>
          <w:szCs w:val="28"/>
        </w:rPr>
        <w:t>ов</w:t>
      </w:r>
      <w:r w:rsidR="003700EC">
        <w:rPr>
          <w:rFonts w:eastAsia="Arial Unicode MS" w:cs="Times New Roman"/>
          <w:szCs w:val="28"/>
        </w:rPr>
        <w:t xml:space="preserve"> в проект</w:t>
      </w:r>
      <w:r w:rsidR="00976E0A">
        <w:rPr>
          <w:rFonts w:eastAsia="Arial Unicode MS" w:cs="Times New Roman"/>
          <w:szCs w:val="28"/>
        </w:rPr>
        <w:t>ах</w:t>
      </w:r>
      <w:r w:rsidR="00AE4FAE" w:rsidRPr="000D249C">
        <w:rPr>
          <w:rFonts w:eastAsia="Arial Unicode MS" w:cs="Times New Roman"/>
          <w:szCs w:val="28"/>
        </w:rPr>
        <w:t xml:space="preserve">. </w:t>
      </w:r>
      <w:r w:rsidR="000D249C" w:rsidRPr="000D249C">
        <w:rPr>
          <w:rFonts w:eastAsia="Arial Unicode MS" w:cs="Times New Roman"/>
          <w:szCs w:val="28"/>
        </w:rPr>
        <w:t xml:space="preserve">Также предполагается, </w:t>
      </w:r>
      <w:r w:rsidR="000D249C" w:rsidRPr="00FB36A8">
        <w:rPr>
          <w:rFonts w:eastAsia="Arial Unicode MS" w:cs="Times New Roman"/>
          <w:szCs w:val="28"/>
        </w:rPr>
        <w:t>что реализаци</w:t>
      </w:r>
      <w:r w:rsidR="0092081B" w:rsidRPr="00FB36A8">
        <w:rPr>
          <w:rFonts w:eastAsia="Arial Unicode MS" w:cs="Times New Roman"/>
          <w:szCs w:val="28"/>
        </w:rPr>
        <w:t>ю</w:t>
      </w:r>
      <w:r w:rsidR="000D249C" w:rsidRPr="00FB36A8">
        <w:rPr>
          <w:rFonts w:eastAsia="Arial Unicode MS" w:cs="Times New Roman"/>
          <w:szCs w:val="28"/>
        </w:rPr>
        <w:t xml:space="preserve"> рассматриваемых проектов </w:t>
      </w:r>
      <w:r w:rsidR="0092081B" w:rsidRPr="003700EC">
        <w:rPr>
          <w:rFonts w:eastAsia="Arial Unicode MS" w:cs="Times New Roman"/>
          <w:szCs w:val="28"/>
        </w:rPr>
        <w:t xml:space="preserve">осуществляет </w:t>
      </w:r>
      <w:r w:rsidR="000D249C" w:rsidRPr="003700EC">
        <w:rPr>
          <w:rFonts w:eastAsia="Arial Unicode MS" w:cs="Times New Roman"/>
          <w:szCs w:val="28"/>
        </w:rPr>
        <w:t xml:space="preserve">независимая компания, </w:t>
      </w:r>
      <w:r w:rsidR="00976E0A">
        <w:rPr>
          <w:rFonts w:eastAsia="Arial Unicode MS" w:cs="Times New Roman"/>
          <w:szCs w:val="28"/>
        </w:rPr>
        <w:t>которая п</w:t>
      </w:r>
      <w:r w:rsidR="000D249C" w:rsidRPr="003700EC">
        <w:rPr>
          <w:rFonts w:eastAsia="Arial Unicode MS" w:cs="Times New Roman"/>
          <w:szCs w:val="28"/>
        </w:rPr>
        <w:t>оставляет трубопроводный газ на россий</w:t>
      </w:r>
      <w:r w:rsidR="0092081B" w:rsidRPr="003700EC">
        <w:rPr>
          <w:rFonts w:eastAsia="Arial Unicode MS" w:cs="Times New Roman"/>
          <w:szCs w:val="28"/>
        </w:rPr>
        <w:t>ский рынок по внутренним ценам</w:t>
      </w:r>
      <w:r w:rsidR="00FB36A8" w:rsidRPr="003700EC">
        <w:rPr>
          <w:rFonts w:eastAsia="Arial Unicode MS" w:cs="Times New Roman"/>
          <w:szCs w:val="28"/>
        </w:rPr>
        <w:t xml:space="preserve"> и </w:t>
      </w:r>
      <w:r w:rsidR="00976E0A">
        <w:rPr>
          <w:rFonts w:eastAsia="Arial Unicode MS" w:cs="Times New Roman"/>
          <w:szCs w:val="28"/>
        </w:rPr>
        <w:t>инвестирует</w:t>
      </w:r>
      <w:r w:rsidR="00FB36A8">
        <w:rPr>
          <w:rFonts w:eastAsia="Arial Unicode MS" w:cs="Times New Roman"/>
          <w:szCs w:val="28"/>
        </w:rPr>
        <w:t xml:space="preserve"> </w:t>
      </w:r>
      <w:r w:rsidR="00976E0A">
        <w:rPr>
          <w:rFonts w:eastAsia="Arial Unicode MS" w:cs="Times New Roman"/>
          <w:szCs w:val="28"/>
        </w:rPr>
        <w:t>в</w:t>
      </w:r>
      <w:r w:rsidR="00FB36A8">
        <w:rPr>
          <w:rFonts w:eastAsia="Arial Unicode MS" w:cs="Times New Roman"/>
          <w:szCs w:val="28"/>
        </w:rPr>
        <w:t xml:space="preserve"> строительство собственной</w:t>
      </w:r>
      <w:r w:rsidR="00FB36A8" w:rsidRPr="00FB36A8">
        <w:rPr>
          <w:rFonts w:eastAsia="Arial Unicode MS" w:cs="Times New Roman"/>
          <w:szCs w:val="28"/>
        </w:rPr>
        <w:t xml:space="preserve"> </w:t>
      </w:r>
      <w:r w:rsidR="00FB36A8" w:rsidRPr="007D1DBB">
        <w:rPr>
          <w:rFonts w:eastAsia="Arial Unicode MS" w:cs="Times New Roman"/>
          <w:color w:val="0000FF"/>
          <w:szCs w:val="28"/>
        </w:rPr>
        <w:t>инфраструктур</w:t>
      </w:r>
      <w:r w:rsidR="007D1DBB" w:rsidRPr="007D1DBB">
        <w:rPr>
          <w:rFonts w:eastAsia="Arial Unicode MS" w:cs="Times New Roman"/>
          <w:color w:val="0000FF"/>
          <w:szCs w:val="28"/>
        </w:rPr>
        <w:t>ы</w:t>
      </w:r>
      <w:r w:rsidR="00976E0A" w:rsidRPr="007D1DBB">
        <w:rPr>
          <w:rFonts w:eastAsia="Arial Unicode MS" w:cs="Times New Roman"/>
          <w:color w:val="FFC000"/>
          <w:szCs w:val="28"/>
        </w:rPr>
        <w:t xml:space="preserve"> </w:t>
      </w:r>
      <w:r w:rsidR="00976E0A">
        <w:rPr>
          <w:rFonts w:eastAsia="Arial Unicode MS" w:cs="Times New Roman"/>
          <w:szCs w:val="28"/>
        </w:rPr>
        <w:t>для реализации</w:t>
      </w:r>
      <w:r w:rsidR="00FB36A8" w:rsidRPr="00FB36A8">
        <w:rPr>
          <w:rFonts w:eastAsia="Arial Unicode MS" w:cs="Times New Roman"/>
          <w:szCs w:val="28"/>
        </w:rPr>
        <w:t xml:space="preserve"> проект</w:t>
      </w:r>
      <w:r w:rsidR="00976E0A">
        <w:rPr>
          <w:rFonts w:eastAsia="Arial Unicode MS" w:cs="Times New Roman"/>
          <w:szCs w:val="28"/>
        </w:rPr>
        <w:t>а</w:t>
      </w:r>
      <w:r w:rsidR="0092081B" w:rsidRPr="00FB36A8">
        <w:rPr>
          <w:rFonts w:eastAsia="Arial Unicode MS" w:cs="Times New Roman"/>
          <w:szCs w:val="28"/>
        </w:rPr>
        <w:t>.</w:t>
      </w:r>
    </w:p>
    <w:p w14:paraId="6AEFD690" w14:textId="4D16EBF9" w:rsidR="00AE4FAE" w:rsidRPr="00A92E29" w:rsidRDefault="00AE4FAE" w:rsidP="00AE4FAE">
      <w:pPr>
        <w:spacing w:before="120" w:after="120"/>
        <w:rPr>
          <w:rFonts w:eastAsia="Arial Unicode MS" w:cs="Times New Roman"/>
          <w:szCs w:val="28"/>
        </w:rPr>
      </w:pPr>
      <w:r w:rsidRPr="00767129">
        <w:rPr>
          <w:rFonts w:eastAsia="Arial Unicode MS" w:cs="Times New Roman"/>
          <w:szCs w:val="28"/>
        </w:rPr>
        <w:t>Для оценки влияния налоговой нагрузки и определения диапазона экономической эффективности проектов</w:t>
      </w:r>
      <w:r>
        <w:rPr>
          <w:rFonts w:eastAsia="Arial Unicode MS" w:cs="Times New Roman"/>
          <w:szCs w:val="28"/>
        </w:rPr>
        <w:t xml:space="preserve"> производства ВТ-газа</w:t>
      </w:r>
      <w:r w:rsidRPr="00767129">
        <w:rPr>
          <w:rFonts w:eastAsia="Arial Unicode MS" w:cs="Times New Roman"/>
          <w:szCs w:val="28"/>
        </w:rPr>
        <w:t xml:space="preserve"> </w:t>
      </w:r>
      <w:r w:rsidR="003977FD">
        <w:rPr>
          <w:rFonts w:eastAsia="Arial Unicode MS" w:cs="Times New Roman"/>
          <w:szCs w:val="28"/>
        </w:rPr>
        <w:t xml:space="preserve">было </w:t>
      </w:r>
      <w:r w:rsidRPr="00767129">
        <w:rPr>
          <w:rFonts w:eastAsia="Arial Unicode MS" w:cs="Times New Roman"/>
          <w:szCs w:val="28"/>
        </w:rPr>
        <w:t>рассм</w:t>
      </w:r>
      <w:r w:rsidR="003977FD">
        <w:rPr>
          <w:rFonts w:eastAsia="Arial Unicode MS" w:cs="Times New Roman"/>
          <w:szCs w:val="28"/>
        </w:rPr>
        <w:t>о</w:t>
      </w:r>
      <w:r w:rsidRPr="00767129">
        <w:rPr>
          <w:rFonts w:eastAsia="Arial Unicode MS" w:cs="Times New Roman"/>
          <w:szCs w:val="28"/>
        </w:rPr>
        <w:t>тре</w:t>
      </w:r>
      <w:r w:rsidR="003977FD">
        <w:rPr>
          <w:rFonts w:eastAsia="Arial Unicode MS" w:cs="Times New Roman"/>
          <w:szCs w:val="28"/>
        </w:rPr>
        <w:t>но</w:t>
      </w:r>
      <w:r w:rsidRPr="00767129">
        <w:rPr>
          <w:rFonts w:eastAsia="Arial Unicode MS" w:cs="Times New Roman"/>
          <w:szCs w:val="28"/>
        </w:rPr>
        <w:t xml:space="preserve"> применение возможных </w:t>
      </w:r>
      <w:r w:rsidR="007D1DBB" w:rsidRPr="007D1DBB">
        <w:rPr>
          <w:rFonts w:eastAsia="Arial Unicode MS" w:cs="Times New Roman"/>
          <w:color w:val="0000FF"/>
          <w:szCs w:val="28"/>
        </w:rPr>
        <w:t xml:space="preserve">механизмов </w:t>
      </w:r>
      <w:r w:rsidRPr="007D1DBB">
        <w:rPr>
          <w:rFonts w:eastAsia="Arial Unicode MS" w:cs="Times New Roman"/>
          <w:color w:val="0000FF"/>
          <w:szCs w:val="28"/>
        </w:rPr>
        <w:t>налогов</w:t>
      </w:r>
      <w:r w:rsidR="007D1DBB" w:rsidRPr="007D1DBB">
        <w:rPr>
          <w:rFonts w:eastAsia="Arial Unicode MS" w:cs="Times New Roman"/>
          <w:color w:val="0000FF"/>
          <w:szCs w:val="28"/>
        </w:rPr>
        <w:t>ого стимулирования</w:t>
      </w:r>
      <w:r w:rsidRPr="00767129">
        <w:rPr>
          <w:rFonts w:eastAsia="Arial Unicode MS" w:cs="Times New Roman"/>
          <w:szCs w:val="28"/>
        </w:rPr>
        <w:t xml:space="preserve">. </w:t>
      </w:r>
      <w:r w:rsidR="00280EAB">
        <w:rPr>
          <w:rFonts w:eastAsia="Arial Unicode MS" w:cs="Times New Roman"/>
          <w:szCs w:val="28"/>
        </w:rPr>
        <w:t>Был</w:t>
      </w:r>
      <w:r w:rsidR="00481A50">
        <w:rPr>
          <w:rFonts w:eastAsia="Arial Unicode MS" w:cs="Times New Roman"/>
          <w:szCs w:val="28"/>
        </w:rPr>
        <w:t>и</w:t>
      </w:r>
      <w:r w:rsidR="00280EAB">
        <w:rPr>
          <w:rFonts w:eastAsia="Arial Unicode MS" w:cs="Times New Roman"/>
          <w:szCs w:val="28"/>
        </w:rPr>
        <w:t xml:space="preserve"> </w:t>
      </w:r>
      <w:r w:rsidR="00280EAB" w:rsidRPr="00796901">
        <w:rPr>
          <w:rFonts w:eastAsia="Arial Unicode MS" w:cs="Times New Roman"/>
          <w:color w:val="0000FF"/>
          <w:szCs w:val="28"/>
        </w:rPr>
        <w:t>проанализирован</w:t>
      </w:r>
      <w:r w:rsidR="00796901" w:rsidRPr="00796901">
        <w:rPr>
          <w:rFonts w:eastAsia="Arial Unicode MS" w:cs="Times New Roman"/>
          <w:color w:val="0000FF"/>
          <w:szCs w:val="28"/>
        </w:rPr>
        <w:t>ы</w:t>
      </w:r>
      <w:r w:rsidR="00280EAB" w:rsidRPr="00796901">
        <w:rPr>
          <w:rFonts w:eastAsia="Arial Unicode MS" w:cs="Times New Roman"/>
          <w:color w:val="0000FF"/>
          <w:szCs w:val="28"/>
        </w:rPr>
        <w:t xml:space="preserve"> </w:t>
      </w:r>
      <w:r w:rsidR="00796901" w:rsidRPr="00796901">
        <w:rPr>
          <w:rFonts w:eastAsia="Arial Unicode MS" w:cs="Times New Roman"/>
          <w:color w:val="0000FF"/>
          <w:szCs w:val="28"/>
        </w:rPr>
        <w:t>условия</w:t>
      </w:r>
      <w:r w:rsidRPr="00796901">
        <w:rPr>
          <w:rFonts w:eastAsia="Arial Unicode MS" w:cs="Times New Roman"/>
          <w:color w:val="0000FF"/>
          <w:szCs w:val="28"/>
        </w:rPr>
        <w:t>, при котор</w:t>
      </w:r>
      <w:r w:rsidR="00796901" w:rsidRPr="00796901">
        <w:rPr>
          <w:rFonts w:eastAsia="Arial Unicode MS" w:cs="Times New Roman"/>
          <w:color w:val="0000FF"/>
          <w:szCs w:val="28"/>
        </w:rPr>
        <w:t>ых</w:t>
      </w:r>
      <w:r w:rsidRPr="00796901">
        <w:rPr>
          <w:rFonts w:eastAsia="Arial Unicode MS" w:cs="Times New Roman"/>
          <w:color w:val="0000FF"/>
          <w:szCs w:val="28"/>
        </w:rPr>
        <w:t xml:space="preserve"> </w:t>
      </w:r>
      <w:r w:rsidRPr="00767129">
        <w:rPr>
          <w:rFonts w:eastAsia="Arial Unicode MS" w:cs="Times New Roman"/>
          <w:szCs w:val="28"/>
        </w:rPr>
        <w:t>ставк</w:t>
      </w:r>
      <w:r>
        <w:rPr>
          <w:rFonts w:eastAsia="Arial Unicode MS" w:cs="Times New Roman"/>
          <w:szCs w:val="28"/>
        </w:rPr>
        <w:t>и</w:t>
      </w:r>
      <w:r w:rsidRPr="00767129">
        <w:rPr>
          <w:rFonts w:eastAsia="Arial Unicode MS" w:cs="Times New Roman"/>
          <w:szCs w:val="28"/>
        </w:rPr>
        <w:t xml:space="preserve"> </w:t>
      </w:r>
      <w:r w:rsidR="003D6CF1">
        <w:rPr>
          <w:rFonts w:eastAsia="Arial Unicode MS" w:cs="Times New Roman"/>
          <w:szCs w:val="28"/>
        </w:rPr>
        <w:t xml:space="preserve">налога на добычу полезных </w:t>
      </w:r>
      <w:r w:rsidR="003D6CF1" w:rsidRPr="00A92E29">
        <w:rPr>
          <w:rFonts w:eastAsia="Arial Unicode MS" w:cs="Times New Roman"/>
          <w:szCs w:val="28"/>
        </w:rPr>
        <w:t>ископаемых (</w:t>
      </w:r>
      <w:r w:rsidRPr="00A92E29">
        <w:rPr>
          <w:rFonts w:eastAsia="Arial Unicode MS" w:cs="Times New Roman"/>
          <w:szCs w:val="28"/>
        </w:rPr>
        <w:t>НДПИ</w:t>
      </w:r>
      <w:r w:rsidR="003D6CF1" w:rsidRPr="00A92E29">
        <w:rPr>
          <w:rFonts w:eastAsia="Arial Unicode MS" w:cs="Times New Roman"/>
          <w:szCs w:val="28"/>
        </w:rPr>
        <w:t>)</w:t>
      </w:r>
      <w:r w:rsidRPr="00A92E29">
        <w:rPr>
          <w:rFonts w:eastAsia="Arial Unicode MS" w:cs="Times New Roman"/>
          <w:szCs w:val="28"/>
        </w:rPr>
        <w:t xml:space="preserve"> на природный газ </w:t>
      </w:r>
      <w:r w:rsidR="005D080A" w:rsidRPr="00A92E29">
        <w:rPr>
          <w:rFonts w:eastAsia="Arial Unicode MS" w:cs="Times New Roman"/>
          <w:szCs w:val="28"/>
        </w:rPr>
        <w:t xml:space="preserve">и газовый конденсат </w:t>
      </w:r>
      <w:r w:rsidRPr="00A92E29">
        <w:rPr>
          <w:rFonts w:eastAsia="Arial Unicode MS" w:cs="Times New Roman"/>
          <w:szCs w:val="28"/>
        </w:rPr>
        <w:t xml:space="preserve">обнуляются на весь период разработки. Оценка влияния налоговой нагрузки на эффективность рассматриваемых вариантов </w:t>
      </w:r>
      <w:r w:rsidR="00706ABB" w:rsidRPr="00A92E29">
        <w:rPr>
          <w:rFonts w:eastAsia="Arial Unicode MS" w:cs="Times New Roman"/>
          <w:szCs w:val="28"/>
        </w:rPr>
        <w:t xml:space="preserve">добычи газа и производства СПГ </w:t>
      </w:r>
      <w:r w:rsidRPr="00A92E29">
        <w:rPr>
          <w:rFonts w:eastAsia="Arial Unicode MS" w:cs="Times New Roman"/>
          <w:szCs w:val="28"/>
        </w:rPr>
        <w:t xml:space="preserve">представлена </w:t>
      </w:r>
      <w:r w:rsidR="00413FDD" w:rsidRPr="00A92E29">
        <w:rPr>
          <w:rFonts w:eastAsia="Arial Unicode MS" w:cs="Times New Roman"/>
          <w:szCs w:val="28"/>
        </w:rPr>
        <w:t>на</w:t>
      </w:r>
      <w:r w:rsidRPr="00A92E29">
        <w:rPr>
          <w:rFonts w:eastAsia="Arial Unicode MS" w:cs="Times New Roman"/>
          <w:szCs w:val="28"/>
        </w:rPr>
        <w:t xml:space="preserve"> </w:t>
      </w:r>
      <w:r w:rsidR="00413FDD" w:rsidRPr="00A92E29">
        <w:rPr>
          <w:rFonts w:eastAsia="Arial Unicode MS" w:cs="Times New Roman"/>
          <w:szCs w:val="28"/>
        </w:rPr>
        <w:t>рис</w:t>
      </w:r>
      <w:r w:rsidR="0068067C" w:rsidRPr="00A92E29">
        <w:rPr>
          <w:rFonts w:eastAsia="Arial Unicode MS" w:cs="Times New Roman"/>
          <w:szCs w:val="28"/>
        </w:rPr>
        <w:t>.</w:t>
      </w:r>
      <w:r w:rsidRPr="00A92E29">
        <w:rPr>
          <w:rFonts w:eastAsia="Arial Unicode MS" w:cs="Times New Roman"/>
          <w:szCs w:val="28"/>
        </w:rPr>
        <w:t xml:space="preserve"> </w:t>
      </w:r>
      <w:r w:rsidR="00413FDD" w:rsidRPr="00A92E29">
        <w:rPr>
          <w:rFonts w:eastAsia="Arial Unicode MS" w:cs="Times New Roman"/>
          <w:szCs w:val="28"/>
        </w:rPr>
        <w:t>1</w:t>
      </w:r>
      <w:r w:rsidRPr="00A92E29">
        <w:rPr>
          <w:rFonts w:eastAsia="Arial Unicode MS" w:cs="Times New Roman"/>
          <w:szCs w:val="28"/>
        </w:rPr>
        <w:t>.</w:t>
      </w:r>
    </w:p>
    <w:p w14:paraId="668D891B" w14:textId="6D6D5AFA" w:rsidR="00413FDD" w:rsidRDefault="000F58CD" w:rsidP="00413FDD">
      <w:pPr>
        <w:spacing w:before="240" w:after="0"/>
        <w:ind w:firstLine="0"/>
        <w:jc w:val="center"/>
        <w:rPr>
          <w:rFonts w:eastAsia="Calibri" w:cs="Times New Roman"/>
          <w:szCs w:val="28"/>
        </w:rPr>
      </w:pPr>
      <w:r w:rsidRPr="000F58CD">
        <w:rPr>
          <w:noProof/>
        </w:rPr>
        <w:drawing>
          <wp:inline distT="0" distB="0" distL="0" distR="0" wp14:anchorId="18EEBF6E" wp14:editId="22C151D7">
            <wp:extent cx="4579620" cy="27508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a:ln>
                      <a:noFill/>
                    </a:ln>
                  </pic:spPr>
                </pic:pic>
              </a:graphicData>
            </a:graphic>
          </wp:inline>
        </w:drawing>
      </w:r>
    </w:p>
    <w:p w14:paraId="0F1C5DFE" w14:textId="2466BF08" w:rsidR="00413FDD" w:rsidRDefault="00413FDD" w:rsidP="00AE4FAE">
      <w:pPr>
        <w:spacing w:before="240" w:after="0"/>
        <w:ind w:firstLine="708"/>
        <w:rPr>
          <w:rFonts w:eastAsia="Calibri" w:cs="Times New Roman"/>
          <w:szCs w:val="28"/>
        </w:rPr>
      </w:pPr>
      <w:r>
        <w:rPr>
          <w:rFonts w:eastAsia="Arial Unicode MS" w:cs="Times New Roman"/>
          <w:szCs w:val="28"/>
        </w:rPr>
        <w:t>Рис. 1.</w:t>
      </w:r>
      <w:r w:rsidRPr="00767129">
        <w:rPr>
          <w:rFonts w:eastAsia="Arial Unicode MS" w:cs="Times New Roman"/>
          <w:szCs w:val="28"/>
        </w:rPr>
        <w:t xml:space="preserve"> </w:t>
      </w:r>
      <w:r w:rsidRPr="00563133">
        <w:rPr>
          <w:rFonts w:eastAsia="Arial Unicode MS" w:cs="Times New Roman"/>
          <w:szCs w:val="28"/>
        </w:rPr>
        <w:t xml:space="preserve">Оценка влияния налоговой нагрузки на эффективность рассматриваемых </w:t>
      </w:r>
      <w:r>
        <w:rPr>
          <w:rFonts w:eastAsia="Arial Unicode MS" w:cs="Times New Roman"/>
          <w:szCs w:val="28"/>
        </w:rPr>
        <w:t>вариантов добычи газа и производства СПГ</w:t>
      </w:r>
    </w:p>
    <w:p w14:paraId="1A030CD5" w14:textId="2FC1CE8E" w:rsidR="00AE4FAE" w:rsidRPr="00767129" w:rsidRDefault="00AE4FAE" w:rsidP="00AE4FAE">
      <w:pPr>
        <w:spacing w:before="240" w:after="0"/>
        <w:ind w:firstLine="708"/>
        <w:rPr>
          <w:rFonts w:eastAsia="Calibri" w:cs="Times New Roman"/>
          <w:szCs w:val="28"/>
        </w:rPr>
      </w:pPr>
      <w:r>
        <w:rPr>
          <w:rFonts w:eastAsia="Calibri" w:cs="Times New Roman"/>
          <w:szCs w:val="28"/>
        </w:rPr>
        <w:t>На основе выполненных оценок</w:t>
      </w:r>
      <w:r w:rsidRPr="00767129">
        <w:rPr>
          <w:rFonts w:eastAsia="Calibri" w:cs="Times New Roman"/>
          <w:szCs w:val="28"/>
        </w:rPr>
        <w:t xml:space="preserve"> финансово-экономической эффективности </w:t>
      </w:r>
      <w:r w:rsidR="007666CF">
        <w:rPr>
          <w:rFonts w:eastAsia="Arial Unicode MS" w:cs="Times New Roman"/>
          <w:szCs w:val="28"/>
        </w:rPr>
        <w:t>вариантов добычи газа и производства СПГ</w:t>
      </w:r>
      <w:r w:rsidRPr="00767129">
        <w:rPr>
          <w:rFonts w:eastAsia="Calibri" w:cs="Times New Roman"/>
          <w:szCs w:val="28"/>
        </w:rPr>
        <w:t xml:space="preserve"> можно сделать следующие</w:t>
      </w:r>
      <w:r w:rsidRPr="00767129">
        <w:rPr>
          <w:rFonts w:eastAsia="Calibri" w:cs="Times New Roman"/>
          <w:b/>
          <w:bCs/>
          <w:szCs w:val="28"/>
        </w:rPr>
        <w:t xml:space="preserve"> </w:t>
      </w:r>
      <w:r w:rsidRPr="007666CF">
        <w:rPr>
          <w:rFonts w:eastAsia="Calibri" w:cs="Times New Roman"/>
          <w:bCs/>
          <w:szCs w:val="28"/>
        </w:rPr>
        <w:t>выводы</w:t>
      </w:r>
      <w:r w:rsidRPr="00767129">
        <w:rPr>
          <w:rFonts w:eastAsia="Calibri" w:cs="Times New Roman"/>
          <w:szCs w:val="28"/>
        </w:rPr>
        <w:t>.</w:t>
      </w:r>
    </w:p>
    <w:p w14:paraId="020FFA2F" w14:textId="16174A81" w:rsidR="00AE4FAE" w:rsidRDefault="00AE4FAE" w:rsidP="00AE4FAE">
      <w:pPr>
        <w:spacing w:after="0"/>
        <w:rPr>
          <w:rFonts w:cs="Times New Roman"/>
          <w:szCs w:val="28"/>
        </w:rPr>
      </w:pPr>
      <w:r>
        <w:rPr>
          <w:rFonts w:cs="Times New Roman"/>
          <w:szCs w:val="28"/>
        </w:rPr>
        <w:t xml:space="preserve">Освоение </w:t>
      </w:r>
      <w:r w:rsidRPr="007666CF">
        <w:rPr>
          <w:rFonts w:cs="Times New Roman"/>
          <w:b/>
          <w:szCs w:val="28"/>
        </w:rPr>
        <w:t>с</w:t>
      </w:r>
      <w:r w:rsidRPr="007666CF">
        <w:rPr>
          <w:rFonts w:eastAsia="Calibri" w:cs="Times New Roman"/>
          <w:b/>
          <w:szCs w:val="28"/>
        </w:rPr>
        <w:t>еноманских залежей</w:t>
      </w:r>
      <w:r w:rsidRPr="007666CF">
        <w:rPr>
          <w:rFonts w:eastAsia="Calibri" w:cs="Times New Roman"/>
          <w:szCs w:val="28"/>
        </w:rPr>
        <w:t xml:space="preserve"> </w:t>
      </w:r>
      <w:r w:rsidRPr="00767129">
        <w:rPr>
          <w:rFonts w:eastAsia="Calibri" w:cs="Times New Roman"/>
          <w:szCs w:val="28"/>
        </w:rPr>
        <w:t xml:space="preserve">(с пониженным </w:t>
      </w:r>
      <w:r w:rsidRPr="00121173">
        <w:rPr>
          <w:rFonts w:eastAsia="Calibri" w:cs="Times New Roman"/>
          <w:szCs w:val="28"/>
        </w:rPr>
        <w:t xml:space="preserve">давлением – сценарий </w:t>
      </w:r>
      <w:r w:rsidR="007666CF">
        <w:rPr>
          <w:rFonts w:eastAsia="Calibri" w:cs="Times New Roman"/>
          <w:szCs w:val="28"/>
          <w:lang w:val="en-US"/>
        </w:rPr>
        <w:t>I</w:t>
      </w:r>
      <w:r w:rsidRPr="00121173">
        <w:rPr>
          <w:rFonts w:eastAsia="Calibri" w:cs="Times New Roman"/>
          <w:szCs w:val="28"/>
        </w:rPr>
        <w:t xml:space="preserve">) </w:t>
      </w:r>
      <w:r>
        <w:rPr>
          <w:rFonts w:eastAsia="Calibri" w:cs="Times New Roman"/>
          <w:szCs w:val="28"/>
        </w:rPr>
        <w:t xml:space="preserve">в случае </w:t>
      </w:r>
      <w:r w:rsidRPr="00121173">
        <w:rPr>
          <w:rFonts w:eastAsia="Calibri" w:cs="Times New Roman"/>
          <w:szCs w:val="28"/>
        </w:rPr>
        <w:t>постав</w:t>
      </w:r>
      <w:r>
        <w:rPr>
          <w:rFonts w:eastAsia="Calibri" w:cs="Times New Roman"/>
          <w:szCs w:val="28"/>
        </w:rPr>
        <w:t>о</w:t>
      </w:r>
      <w:r w:rsidRPr="00121173">
        <w:rPr>
          <w:rFonts w:eastAsia="Calibri" w:cs="Times New Roman"/>
          <w:szCs w:val="28"/>
        </w:rPr>
        <w:t xml:space="preserve">к </w:t>
      </w:r>
      <w:r w:rsidR="005D080A">
        <w:rPr>
          <w:rFonts w:eastAsia="Calibri" w:cs="Times New Roman"/>
          <w:szCs w:val="28"/>
        </w:rPr>
        <w:t xml:space="preserve">на российский рынок </w:t>
      </w:r>
      <w:r w:rsidRPr="00121173">
        <w:rPr>
          <w:rFonts w:eastAsia="Calibri" w:cs="Times New Roman"/>
          <w:szCs w:val="28"/>
        </w:rPr>
        <w:t xml:space="preserve">трубопроводного газа через </w:t>
      </w:r>
      <w:r w:rsidRPr="00121173">
        <w:rPr>
          <w:rFonts w:eastAsia="Times New Roman" w:cs="Times New Roman"/>
          <w:bCs/>
          <w:szCs w:val="28"/>
          <w:lang w:eastAsia="ru-RU"/>
        </w:rPr>
        <w:t xml:space="preserve">ЕСГ </w:t>
      </w:r>
      <w:r w:rsidRPr="00121173">
        <w:rPr>
          <w:rFonts w:cs="Times New Roman"/>
          <w:szCs w:val="28"/>
        </w:rPr>
        <w:t>(</w:t>
      </w:r>
      <w:r w:rsidRPr="00121173">
        <w:rPr>
          <w:rFonts w:cs="Times New Roman"/>
          <w:i/>
          <w:szCs w:val="28"/>
        </w:rPr>
        <w:t>вариант 1.1</w:t>
      </w:r>
      <w:r w:rsidR="004E73E7">
        <w:rPr>
          <w:rFonts w:cs="Times New Roman"/>
          <w:i/>
          <w:szCs w:val="28"/>
        </w:rPr>
        <w:t>. Сеноман</w:t>
      </w:r>
      <w:r w:rsidR="007666CF">
        <w:rPr>
          <w:rFonts w:cs="Times New Roman"/>
          <w:i/>
          <w:szCs w:val="28"/>
        </w:rPr>
        <w:t>/</w:t>
      </w:r>
      <w:r w:rsidR="004E73E7">
        <w:rPr>
          <w:rFonts w:cs="Times New Roman"/>
          <w:i/>
          <w:szCs w:val="28"/>
        </w:rPr>
        <w:t>ЕСГ</w:t>
      </w:r>
      <w:r w:rsidRPr="00121173">
        <w:rPr>
          <w:rFonts w:cs="Times New Roman"/>
          <w:szCs w:val="28"/>
        </w:rPr>
        <w:t xml:space="preserve">) без </w:t>
      </w:r>
      <w:r>
        <w:rPr>
          <w:rFonts w:cs="Times New Roman"/>
          <w:szCs w:val="28"/>
        </w:rPr>
        <w:t>дополнительных</w:t>
      </w:r>
      <w:r w:rsidRPr="00767129">
        <w:rPr>
          <w:rFonts w:cs="Times New Roman"/>
          <w:szCs w:val="28"/>
        </w:rPr>
        <w:t xml:space="preserve"> налого</w:t>
      </w:r>
      <w:r>
        <w:rPr>
          <w:rFonts w:cs="Times New Roman"/>
          <w:szCs w:val="28"/>
        </w:rPr>
        <w:t xml:space="preserve">вых </w:t>
      </w:r>
      <w:r w:rsidR="003A438E" w:rsidRPr="003A438E">
        <w:rPr>
          <w:rFonts w:cs="Times New Roman"/>
          <w:color w:val="0000FF"/>
          <w:szCs w:val="28"/>
        </w:rPr>
        <w:t xml:space="preserve">стимулов </w:t>
      </w:r>
      <w:r>
        <w:rPr>
          <w:rFonts w:cs="Times New Roman"/>
          <w:szCs w:val="28"/>
        </w:rPr>
        <w:t xml:space="preserve">оказывается </w:t>
      </w:r>
      <w:r w:rsidRPr="00767129">
        <w:rPr>
          <w:rFonts w:cs="Times New Roman"/>
          <w:szCs w:val="28"/>
        </w:rPr>
        <w:t>н</w:t>
      </w:r>
      <w:r>
        <w:rPr>
          <w:rFonts w:cs="Times New Roman"/>
          <w:szCs w:val="28"/>
        </w:rPr>
        <w:t>изко</w:t>
      </w:r>
      <w:r w:rsidRPr="00767129">
        <w:rPr>
          <w:rFonts w:cs="Times New Roman"/>
          <w:szCs w:val="28"/>
        </w:rPr>
        <w:t>рентабельн</w:t>
      </w:r>
      <w:r>
        <w:rPr>
          <w:rFonts w:cs="Times New Roman"/>
          <w:szCs w:val="28"/>
        </w:rPr>
        <w:t>ым. Прибыл</w:t>
      </w:r>
      <w:r w:rsidRPr="00767129">
        <w:rPr>
          <w:rFonts w:cs="Times New Roman"/>
          <w:szCs w:val="28"/>
        </w:rPr>
        <w:t xml:space="preserve">ьность </w:t>
      </w:r>
      <w:r>
        <w:rPr>
          <w:rFonts w:cs="Times New Roman"/>
          <w:szCs w:val="28"/>
        </w:rPr>
        <w:t xml:space="preserve">в этом варианте даже </w:t>
      </w:r>
      <w:r w:rsidRPr="00767129">
        <w:rPr>
          <w:rFonts w:cs="Times New Roman"/>
          <w:szCs w:val="28"/>
        </w:rPr>
        <w:t>ниже</w:t>
      </w:r>
      <w:r>
        <w:rPr>
          <w:rFonts w:cs="Times New Roman"/>
          <w:szCs w:val="28"/>
        </w:rPr>
        <w:t>, чем при разработке</w:t>
      </w:r>
      <w:r w:rsidRPr="00767129">
        <w:rPr>
          <w:rFonts w:cs="Times New Roman"/>
          <w:szCs w:val="28"/>
        </w:rPr>
        <w:t xml:space="preserve"> </w:t>
      </w:r>
      <w:r w:rsidR="0076749A">
        <w:rPr>
          <w:rFonts w:cs="Times New Roman"/>
          <w:szCs w:val="28"/>
        </w:rPr>
        <w:t xml:space="preserve">ТРИЗ – </w:t>
      </w:r>
      <w:r w:rsidRPr="00767129">
        <w:rPr>
          <w:rFonts w:cs="Times New Roman"/>
          <w:szCs w:val="28"/>
        </w:rPr>
        <w:t>ачимовских и юрских пластов</w:t>
      </w:r>
      <w:r>
        <w:rPr>
          <w:rFonts w:cs="Times New Roman"/>
          <w:szCs w:val="28"/>
        </w:rPr>
        <w:t>. Такое соотношение во многом связано с</w:t>
      </w:r>
      <w:r w:rsidRPr="00767129">
        <w:rPr>
          <w:rFonts w:cs="Times New Roman"/>
          <w:szCs w:val="28"/>
        </w:rPr>
        <w:t xml:space="preserve"> отсутств</w:t>
      </w:r>
      <w:r>
        <w:rPr>
          <w:rFonts w:cs="Times New Roman"/>
          <w:szCs w:val="28"/>
        </w:rPr>
        <w:t>ием</w:t>
      </w:r>
      <w:r w:rsidRPr="00767129">
        <w:rPr>
          <w:rFonts w:cs="Times New Roman"/>
          <w:szCs w:val="28"/>
        </w:rPr>
        <w:t xml:space="preserve"> добыч</w:t>
      </w:r>
      <w:r>
        <w:rPr>
          <w:rFonts w:cs="Times New Roman"/>
          <w:szCs w:val="28"/>
        </w:rPr>
        <w:t>и</w:t>
      </w:r>
      <w:r w:rsidRPr="00767129">
        <w:rPr>
          <w:rFonts w:cs="Times New Roman"/>
          <w:szCs w:val="28"/>
        </w:rPr>
        <w:t xml:space="preserve"> конденсата</w:t>
      </w:r>
      <w:r>
        <w:rPr>
          <w:rFonts w:cs="Times New Roman"/>
          <w:szCs w:val="28"/>
        </w:rPr>
        <w:t xml:space="preserve"> в рамках этого сценария. П</w:t>
      </w:r>
      <w:r w:rsidRPr="00767129">
        <w:rPr>
          <w:rFonts w:cs="Times New Roman"/>
          <w:szCs w:val="28"/>
        </w:rPr>
        <w:t xml:space="preserve">ри отмене НДПИ проект остается </w:t>
      </w:r>
      <w:r>
        <w:rPr>
          <w:rFonts w:cs="Times New Roman"/>
          <w:szCs w:val="28"/>
        </w:rPr>
        <w:t>мало</w:t>
      </w:r>
      <w:r w:rsidRPr="00767129">
        <w:rPr>
          <w:rFonts w:cs="Times New Roman"/>
          <w:szCs w:val="28"/>
        </w:rPr>
        <w:t>рентабельным</w:t>
      </w:r>
      <w:r>
        <w:rPr>
          <w:rFonts w:cs="Times New Roman"/>
          <w:szCs w:val="28"/>
        </w:rPr>
        <w:t xml:space="preserve">. Производство </w:t>
      </w:r>
      <w:r w:rsidRPr="00767129">
        <w:rPr>
          <w:rFonts w:eastAsia="Times New Roman" w:cs="Times New Roman"/>
          <w:bCs/>
          <w:szCs w:val="28"/>
          <w:lang w:eastAsia="ru-RU"/>
        </w:rPr>
        <w:t>СПГ</w:t>
      </w:r>
      <w:r>
        <w:rPr>
          <w:rFonts w:eastAsia="Times New Roman" w:cs="Times New Roman"/>
          <w:bCs/>
          <w:szCs w:val="28"/>
          <w:lang w:eastAsia="ru-RU"/>
        </w:rPr>
        <w:t xml:space="preserve"> </w:t>
      </w:r>
      <w:r w:rsidRPr="00121173">
        <w:rPr>
          <w:rFonts w:cs="Times New Roman"/>
          <w:szCs w:val="28"/>
        </w:rPr>
        <w:t>(</w:t>
      </w:r>
      <w:r w:rsidRPr="00121173">
        <w:rPr>
          <w:rFonts w:cs="Times New Roman"/>
          <w:i/>
          <w:szCs w:val="28"/>
        </w:rPr>
        <w:t xml:space="preserve">вариант </w:t>
      </w:r>
      <w:r w:rsidRPr="00121173">
        <w:rPr>
          <w:rFonts w:cs="Times New Roman"/>
          <w:i/>
          <w:szCs w:val="28"/>
        </w:rPr>
        <w:lastRenderedPageBreak/>
        <w:t>1.</w:t>
      </w:r>
      <w:r>
        <w:rPr>
          <w:rFonts w:cs="Times New Roman"/>
          <w:i/>
          <w:szCs w:val="28"/>
        </w:rPr>
        <w:t>2</w:t>
      </w:r>
      <w:r w:rsidR="005D080A">
        <w:rPr>
          <w:rFonts w:cs="Times New Roman"/>
          <w:i/>
          <w:szCs w:val="28"/>
        </w:rPr>
        <w:t>. Сеноман/СПГ</w:t>
      </w:r>
      <w:r w:rsidRPr="00121173">
        <w:rPr>
          <w:rFonts w:cs="Times New Roman"/>
          <w:szCs w:val="28"/>
        </w:rPr>
        <w:t xml:space="preserve">) </w:t>
      </w:r>
      <w:r>
        <w:rPr>
          <w:rFonts w:cs="Times New Roman"/>
          <w:szCs w:val="28"/>
        </w:rPr>
        <w:t>и</w:t>
      </w:r>
      <w:r w:rsidRPr="00767129">
        <w:rPr>
          <w:rFonts w:cs="Times New Roman"/>
          <w:szCs w:val="28"/>
        </w:rPr>
        <w:t xml:space="preserve"> отмен</w:t>
      </w:r>
      <w:r>
        <w:rPr>
          <w:rFonts w:cs="Times New Roman"/>
          <w:szCs w:val="28"/>
        </w:rPr>
        <w:t>а</w:t>
      </w:r>
      <w:r w:rsidRPr="00767129">
        <w:rPr>
          <w:rFonts w:cs="Times New Roman"/>
          <w:szCs w:val="28"/>
        </w:rPr>
        <w:t xml:space="preserve"> НДПИ </w:t>
      </w:r>
      <w:r>
        <w:rPr>
          <w:rFonts w:cs="Times New Roman"/>
          <w:szCs w:val="28"/>
        </w:rPr>
        <w:t xml:space="preserve">мало что меняют: прибыльность </w:t>
      </w:r>
      <w:r w:rsidRPr="00767129">
        <w:rPr>
          <w:rFonts w:cs="Times New Roman"/>
          <w:szCs w:val="28"/>
        </w:rPr>
        <w:t>проект</w:t>
      </w:r>
      <w:r>
        <w:rPr>
          <w:rFonts w:cs="Times New Roman"/>
          <w:szCs w:val="28"/>
        </w:rPr>
        <w:t>а</w:t>
      </w:r>
      <w:r w:rsidRPr="00767129">
        <w:rPr>
          <w:rFonts w:cs="Times New Roman"/>
          <w:szCs w:val="28"/>
        </w:rPr>
        <w:t xml:space="preserve"> остается </w:t>
      </w:r>
      <w:r>
        <w:rPr>
          <w:rFonts w:cs="Times New Roman"/>
          <w:szCs w:val="28"/>
        </w:rPr>
        <w:t>на том же уровне</w:t>
      </w:r>
      <w:r w:rsidRPr="00767129">
        <w:rPr>
          <w:rFonts w:cs="Times New Roman"/>
          <w:szCs w:val="28"/>
        </w:rPr>
        <w:t>.</w:t>
      </w:r>
    </w:p>
    <w:p w14:paraId="39FD9665" w14:textId="70F71EE4" w:rsidR="00AE4FAE" w:rsidRPr="00767129" w:rsidRDefault="00AE4FAE" w:rsidP="00AE4FAE">
      <w:pPr>
        <w:pStyle w:val="a3"/>
        <w:rPr>
          <w:rFonts w:eastAsia="Calibri"/>
        </w:rPr>
      </w:pPr>
      <w:r w:rsidRPr="00767129">
        <w:rPr>
          <w:rFonts w:eastAsia="Calibri"/>
        </w:rPr>
        <w:t>Разработка сеноманских залежей</w:t>
      </w:r>
      <w:r w:rsidR="00280EAB">
        <w:rPr>
          <w:rFonts w:eastAsia="Calibri"/>
        </w:rPr>
        <w:t>,</w:t>
      </w:r>
      <w:r w:rsidRPr="00767129">
        <w:rPr>
          <w:rFonts w:eastAsia="Calibri"/>
        </w:rPr>
        <w:t xml:space="preserve"> как отдельного проекта</w:t>
      </w:r>
      <w:r w:rsidR="00280EAB">
        <w:rPr>
          <w:rFonts w:eastAsia="Calibri"/>
        </w:rPr>
        <w:t>,</w:t>
      </w:r>
      <w:r w:rsidRPr="00767129">
        <w:rPr>
          <w:rFonts w:eastAsia="Calibri"/>
        </w:rPr>
        <w:t xml:space="preserve"> имеет смысл только для тех компаний, которые владеют</w:t>
      </w:r>
      <w:r w:rsidR="00280EAB">
        <w:rPr>
          <w:rFonts w:eastAsia="Calibri"/>
        </w:rPr>
        <w:t xml:space="preserve"> (или имеют доступ)</w:t>
      </w:r>
      <w:r w:rsidRPr="00767129">
        <w:rPr>
          <w:rFonts w:eastAsia="Calibri"/>
        </w:rPr>
        <w:t xml:space="preserve"> существующей инфраструктурой и/или могут получ</w:t>
      </w:r>
      <w:r w:rsidR="00706ABB">
        <w:rPr>
          <w:rFonts w:eastAsia="Calibri"/>
        </w:rPr>
        <w:t>а</w:t>
      </w:r>
      <w:r w:rsidRPr="00767129">
        <w:rPr>
          <w:rFonts w:eastAsia="Calibri"/>
        </w:rPr>
        <w:t xml:space="preserve">ть за природный газ более высокую цену на внутреннем рынке </w:t>
      </w:r>
      <w:r w:rsidR="007666CF" w:rsidRPr="007666CF">
        <w:rPr>
          <w:rFonts w:eastAsia="Calibri"/>
        </w:rPr>
        <w:t xml:space="preserve">– </w:t>
      </w:r>
      <w:r w:rsidRPr="00767129">
        <w:rPr>
          <w:rFonts w:eastAsia="Calibri"/>
        </w:rPr>
        <w:t>3</w:t>
      </w:r>
      <w:r>
        <w:rPr>
          <w:rFonts w:eastAsia="Calibri"/>
        </w:rPr>
        <w:t>,</w:t>
      </w:r>
      <w:r w:rsidRPr="00767129">
        <w:rPr>
          <w:rFonts w:eastAsia="Calibri"/>
        </w:rPr>
        <w:t>6</w:t>
      </w:r>
      <w:r>
        <w:rPr>
          <w:rFonts w:eastAsia="Calibri"/>
        </w:rPr>
        <w:t xml:space="preserve"> тыс.</w:t>
      </w:r>
      <w:r w:rsidRPr="00767129">
        <w:rPr>
          <w:rFonts w:eastAsia="Calibri"/>
        </w:rPr>
        <w:t xml:space="preserve"> руб./тыс. м</w:t>
      </w:r>
      <w:r w:rsidRPr="00767129">
        <w:rPr>
          <w:rFonts w:eastAsia="Calibri"/>
          <w:vertAlign w:val="superscript"/>
        </w:rPr>
        <w:t>3</w:t>
      </w:r>
      <w:r w:rsidRPr="00767129">
        <w:rPr>
          <w:rFonts w:eastAsia="Calibri"/>
        </w:rPr>
        <w:t xml:space="preserve"> и выше</w:t>
      </w:r>
      <w:r>
        <w:rPr>
          <w:rFonts w:eastAsia="Calibri"/>
        </w:rPr>
        <w:t>.</w:t>
      </w:r>
    </w:p>
    <w:p w14:paraId="507F78CF" w14:textId="695EBCB7" w:rsidR="00AE4FAE" w:rsidRDefault="00AE4FAE" w:rsidP="00AE4FAE">
      <w:pPr>
        <w:widowControl w:val="0"/>
        <w:spacing w:after="0"/>
        <w:ind w:firstLine="708"/>
        <w:rPr>
          <w:rFonts w:cs="Times New Roman"/>
          <w:szCs w:val="28"/>
        </w:rPr>
      </w:pPr>
      <w:r>
        <w:rPr>
          <w:rFonts w:cs="Times New Roman"/>
          <w:szCs w:val="28"/>
        </w:rPr>
        <w:t xml:space="preserve">Разработка </w:t>
      </w:r>
      <w:r w:rsidRPr="007666CF">
        <w:rPr>
          <w:rFonts w:cs="Times New Roman"/>
          <w:b/>
          <w:szCs w:val="28"/>
        </w:rPr>
        <w:t>н</w:t>
      </w:r>
      <w:r w:rsidRPr="007666CF">
        <w:rPr>
          <w:rFonts w:eastAsia="Calibri" w:cs="Times New Roman"/>
          <w:b/>
          <w:szCs w:val="28"/>
        </w:rPr>
        <w:t>еокомских залежей</w:t>
      </w:r>
      <w:r w:rsidRPr="007666CF">
        <w:rPr>
          <w:rFonts w:cs="Times New Roman"/>
          <w:szCs w:val="28"/>
        </w:rPr>
        <w:t xml:space="preserve"> </w:t>
      </w:r>
      <w:r>
        <w:rPr>
          <w:rFonts w:cs="Times New Roman"/>
          <w:szCs w:val="28"/>
        </w:rPr>
        <w:t xml:space="preserve">при поставках газа в </w:t>
      </w:r>
      <w:r w:rsidRPr="00767129">
        <w:rPr>
          <w:rFonts w:eastAsia="Times New Roman" w:cs="Times New Roman"/>
          <w:bCs/>
          <w:szCs w:val="28"/>
          <w:lang w:eastAsia="ru-RU"/>
        </w:rPr>
        <w:t>ЕСГ</w:t>
      </w:r>
      <w:r>
        <w:rPr>
          <w:rFonts w:eastAsia="Times New Roman" w:cs="Times New Roman"/>
          <w:bCs/>
          <w:szCs w:val="28"/>
          <w:lang w:eastAsia="ru-RU"/>
        </w:rPr>
        <w:t xml:space="preserve"> </w:t>
      </w:r>
      <w:r>
        <w:rPr>
          <w:rFonts w:cs="Times New Roman"/>
          <w:szCs w:val="28"/>
        </w:rPr>
        <w:t>(</w:t>
      </w:r>
      <w:r>
        <w:rPr>
          <w:rFonts w:cs="Times New Roman"/>
          <w:i/>
          <w:szCs w:val="28"/>
        </w:rPr>
        <w:t>вариант</w:t>
      </w:r>
      <w:r w:rsidRPr="00C131FD">
        <w:rPr>
          <w:rFonts w:cs="Times New Roman"/>
          <w:i/>
          <w:szCs w:val="28"/>
        </w:rPr>
        <w:t xml:space="preserve"> 2</w:t>
      </w:r>
      <w:r>
        <w:rPr>
          <w:rFonts w:cs="Times New Roman"/>
          <w:i/>
          <w:szCs w:val="28"/>
        </w:rPr>
        <w:t>.1</w:t>
      </w:r>
      <w:r w:rsidR="00706ABB">
        <w:rPr>
          <w:rFonts w:cs="Times New Roman"/>
          <w:i/>
          <w:szCs w:val="28"/>
        </w:rPr>
        <w:t>. Неоком/ЕСГ</w:t>
      </w:r>
      <w:r w:rsidRPr="00767129">
        <w:rPr>
          <w:rFonts w:cs="Times New Roman"/>
          <w:szCs w:val="28"/>
        </w:rPr>
        <w:t>)</w:t>
      </w:r>
      <w:r>
        <w:rPr>
          <w:rFonts w:cs="Times New Roman"/>
          <w:szCs w:val="28"/>
        </w:rPr>
        <w:t xml:space="preserve"> </w:t>
      </w:r>
      <w:r>
        <w:rPr>
          <w:rFonts w:eastAsia="Times New Roman" w:cs="Times New Roman"/>
          <w:bCs/>
          <w:szCs w:val="28"/>
          <w:lang w:eastAsia="ru-RU"/>
        </w:rPr>
        <w:t>в рамках</w:t>
      </w:r>
      <w:r w:rsidRPr="00767129">
        <w:rPr>
          <w:rFonts w:cs="Times New Roman"/>
          <w:szCs w:val="28"/>
        </w:rPr>
        <w:t xml:space="preserve"> действующе</w:t>
      </w:r>
      <w:r>
        <w:rPr>
          <w:rFonts w:cs="Times New Roman"/>
          <w:szCs w:val="28"/>
        </w:rPr>
        <w:t>й</w:t>
      </w:r>
      <w:r w:rsidRPr="00767129">
        <w:rPr>
          <w:rFonts w:cs="Times New Roman"/>
          <w:szCs w:val="28"/>
        </w:rPr>
        <w:t xml:space="preserve"> налого</w:t>
      </w:r>
      <w:r>
        <w:rPr>
          <w:rFonts w:cs="Times New Roman"/>
          <w:szCs w:val="28"/>
        </w:rPr>
        <w:t>вой системы</w:t>
      </w:r>
      <w:r w:rsidRPr="00767129">
        <w:rPr>
          <w:rFonts w:cs="Times New Roman"/>
          <w:szCs w:val="28"/>
        </w:rPr>
        <w:t xml:space="preserve"> </w:t>
      </w:r>
      <w:r>
        <w:rPr>
          <w:rFonts w:cs="Times New Roman"/>
          <w:szCs w:val="28"/>
        </w:rPr>
        <w:t>показывает высокую</w:t>
      </w:r>
      <w:r w:rsidRPr="00767129">
        <w:rPr>
          <w:rFonts w:cs="Times New Roman"/>
          <w:szCs w:val="28"/>
        </w:rPr>
        <w:t xml:space="preserve"> рентабельн</w:t>
      </w:r>
      <w:r>
        <w:rPr>
          <w:rFonts w:cs="Times New Roman"/>
          <w:szCs w:val="28"/>
        </w:rPr>
        <w:t>ость</w:t>
      </w:r>
      <w:r w:rsidRPr="00767129">
        <w:rPr>
          <w:rFonts w:cs="Times New Roman"/>
          <w:szCs w:val="28"/>
        </w:rPr>
        <w:t xml:space="preserve"> (ВНД = 26%)</w:t>
      </w:r>
      <w:r>
        <w:rPr>
          <w:rFonts w:cs="Times New Roman"/>
          <w:szCs w:val="28"/>
        </w:rPr>
        <w:t>. В случае производства СПГ на базе газа неокомских залежей (</w:t>
      </w:r>
      <w:r>
        <w:rPr>
          <w:rFonts w:cs="Times New Roman"/>
          <w:i/>
          <w:szCs w:val="28"/>
        </w:rPr>
        <w:t>вариант</w:t>
      </w:r>
      <w:r w:rsidRPr="00C131FD">
        <w:rPr>
          <w:rFonts w:cs="Times New Roman"/>
          <w:i/>
          <w:szCs w:val="28"/>
        </w:rPr>
        <w:t xml:space="preserve"> 2</w:t>
      </w:r>
      <w:r>
        <w:rPr>
          <w:rFonts w:cs="Times New Roman"/>
          <w:i/>
          <w:szCs w:val="28"/>
        </w:rPr>
        <w:t>.2</w:t>
      </w:r>
      <w:r w:rsidR="00706ABB">
        <w:rPr>
          <w:rFonts w:cs="Times New Roman"/>
          <w:i/>
          <w:szCs w:val="28"/>
        </w:rPr>
        <w:t>. Неоком/СПГ</w:t>
      </w:r>
      <w:r w:rsidRPr="00767129">
        <w:rPr>
          <w:rFonts w:cs="Times New Roman"/>
          <w:szCs w:val="28"/>
        </w:rPr>
        <w:t>)</w:t>
      </w:r>
      <w:r>
        <w:rPr>
          <w:rFonts w:cs="Times New Roman"/>
          <w:szCs w:val="28"/>
        </w:rPr>
        <w:t xml:space="preserve"> </w:t>
      </w:r>
      <w:r w:rsidR="00706ABB">
        <w:rPr>
          <w:rFonts w:cs="Times New Roman"/>
          <w:szCs w:val="28"/>
        </w:rPr>
        <w:t xml:space="preserve">– </w:t>
      </w:r>
      <w:r>
        <w:rPr>
          <w:rFonts w:cs="Times New Roman"/>
          <w:szCs w:val="28"/>
        </w:rPr>
        <w:t>даже при отмене</w:t>
      </w:r>
      <w:r w:rsidRPr="00767129">
        <w:rPr>
          <w:rFonts w:cs="Times New Roman"/>
          <w:szCs w:val="28"/>
        </w:rPr>
        <w:t xml:space="preserve"> НДПИ </w:t>
      </w:r>
      <w:r w:rsidR="00706ABB">
        <w:rPr>
          <w:rFonts w:cs="Times New Roman"/>
          <w:szCs w:val="28"/>
        </w:rPr>
        <w:t xml:space="preserve">– </w:t>
      </w:r>
      <w:r w:rsidR="00706ABB" w:rsidRPr="00767129">
        <w:rPr>
          <w:rFonts w:cs="Times New Roman"/>
          <w:szCs w:val="28"/>
        </w:rPr>
        <w:t>рентабельн</w:t>
      </w:r>
      <w:r w:rsidR="00706ABB">
        <w:rPr>
          <w:rFonts w:cs="Times New Roman"/>
          <w:szCs w:val="28"/>
        </w:rPr>
        <w:t xml:space="preserve">ость интегрированного </w:t>
      </w:r>
      <w:r w:rsidRPr="00767129">
        <w:rPr>
          <w:rFonts w:cs="Times New Roman"/>
          <w:szCs w:val="28"/>
        </w:rPr>
        <w:t>проект</w:t>
      </w:r>
      <w:r w:rsidR="00706ABB">
        <w:rPr>
          <w:rFonts w:cs="Times New Roman"/>
          <w:szCs w:val="28"/>
        </w:rPr>
        <w:t>а</w:t>
      </w:r>
      <w:r w:rsidRPr="00767129">
        <w:rPr>
          <w:rFonts w:cs="Times New Roman"/>
          <w:szCs w:val="28"/>
        </w:rPr>
        <w:t xml:space="preserve"> </w:t>
      </w:r>
      <w:r w:rsidR="00706ABB">
        <w:rPr>
          <w:rFonts w:cs="Times New Roman"/>
          <w:szCs w:val="28"/>
        </w:rPr>
        <w:t>(добыча + производство СПГ) заметно снижается</w:t>
      </w:r>
      <w:r w:rsidR="001C4D07">
        <w:rPr>
          <w:rFonts w:cs="Times New Roman"/>
          <w:szCs w:val="28"/>
        </w:rPr>
        <w:t xml:space="preserve"> прежде всего из-за высоких капитальных затрат на строительство СПГ</w:t>
      </w:r>
      <w:r w:rsidR="00E93C39">
        <w:rPr>
          <w:rFonts w:cs="Times New Roman"/>
          <w:szCs w:val="28"/>
        </w:rPr>
        <w:t>.</w:t>
      </w:r>
    </w:p>
    <w:p w14:paraId="454A7F0E" w14:textId="470A0684" w:rsidR="00AE4FAE" w:rsidRPr="00767129" w:rsidRDefault="00AE4FAE" w:rsidP="00AE4FAE">
      <w:pPr>
        <w:spacing w:after="0"/>
        <w:ind w:firstLine="708"/>
        <w:rPr>
          <w:rFonts w:cs="Times New Roman"/>
          <w:szCs w:val="28"/>
        </w:rPr>
      </w:pPr>
      <w:r>
        <w:rPr>
          <w:rFonts w:cs="Times New Roman"/>
          <w:szCs w:val="28"/>
        </w:rPr>
        <w:t>Освоение</w:t>
      </w:r>
      <w:r>
        <w:rPr>
          <w:rFonts w:eastAsia="Calibri" w:cs="Times New Roman"/>
          <w:szCs w:val="28"/>
        </w:rPr>
        <w:t xml:space="preserve"> </w:t>
      </w:r>
      <w:r w:rsidRPr="007666CF">
        <w:rPr>
          <w:rFonts w:eastAsia="Calibri" w:cs="Times New Roman"/>
          <w:b/>
          <w:szCs w:val="28"/>
        </w:rPr>
        <w:t>ачимовских и юрских залежей</w:t>
      </w:r>
      <w:r w:rsidRPr="007666CF">
        <w:rPr>
          <w:rFonts w:eastAsia="Calibri" w:cs="Times New Roman"/>
          <w:szCs w:val="28"/>
        </w:rPr>
        <w:t xml:space="preserve"> </w:t>
      </w:r>
      <w:r>
        <w:rPr>
          <w:rFonts w:eastAsia="Calibri" w:cs="Times New Roman"/>
          <w:szCs w:val="28"/>
        </w:rPr>
        <w:t xml:space="preserve">(сценарий </w:t>
      </w:r>
      <w:r w:rsidR="007666CF">
        <w:rPr>
          <w:rFonts w:eastAsia="Calibri" w:cs="Times New Roman"/>
          <w:szCs w:val="28"/>
          <w:lang w:val="en-US"/>
        </w:rPr>
        <w:t>III</w:t>
      </w:r>
      <w:r w:rsidRPr="00767129">
        <w:rPr>
          <w:rFonts w:eastAsia="Calibri" w:cs="Times New Roman"/>
          <w:szCs w:val="28"/>
        </w:rPr>
        <w:t>)</w:t>
      </w:r>
      <w:r>
        <w:rPr>
          <w:rFonts w:eastAsia="Calibri" w:cs="Times New Roman"/>
          <w:szCs w:val="28"/>
        </w:rPr>
        <w:t xml:space="preserve"> при поставках газа в </w:t>
      </w:r>
      <w:r w:rsidRPr="00767129">
        <w:rPr>
          <w:rFonts w:eastAsia="Times New Roman" w:cs="Times New Roman"/>
          <w:bCs/>
          <w:szCs w:val="28"/>
          <w:lang w:eastAsia="ru-RU"/>
        </w:rPr>
        <w:t>ЕСГ</w:t>
      </w:r>
      <w:r>
        <w:rPr>
          <w:rFonts w:eastAsia="Times New Roman" w:cs="Times New Roman"/>
          <w:bCs/>
          <w:szCs w:val="28"/>
          <w:lang w:eastAsia="ru-RU"/>
        </w:rPr>
        <w:t xml:space="preserve"> (</w:t>
      </w:r>
      <w:r w:rsidRPr="00E7023A">
        <w:rPr>
          <w:rFonts w:eastAsia="Times New Roman" w:cs="Times New Roman"/>
          <w:bCs/>
          <w:i/>
          <w:szCs w:val="28"/>
          <w:lang w:eastAsia="ru-RU"/>
        </w:rPr>
        <w:t>вариант 3.1</w:t>
      </w:r>
      <w:r w:rsidR="00706ABB">
        <w:rPr>
          <w:rFonts w:eastAsia="Times New Roman" w:cs="Times New Roman"/>
          <w:bCs/>
          <w:i/>
          <w:szCs w:val="28"/>
          <w:lang w:eastAsia="ru-RU"/>
        </w:rPr>
        <w:t>. Ачим/ЕСГ</w:t>
      </w:r>
      <w:r>
        <w:rPr>
          <w:rFonts w:eastAsia="Times New Roman" w:cs="Times New Roman"/>
          <w:bCs/>
          <w:szCs w:val="28"/>
          <w:lang w:eastAsia="ru-RU"/>
        </w:rPr>
        <w:t xml:space="preserve">, </w:t>
      </w:r>
      <w:r w:rsidRPr="00767129">
        <w:rPr>
          <w:rFonts w:cs="Times New Roman"/>
          <w:szCs w:val="28"/>
        </w:rPr>
        <w:t>при действующе</w:t>
      </w:r>
      <w:r>
        <w:rPr>
          <w:rFonts w:cs="Times New Roman"/>
          <w:szCs w:val="28"/>
        </w:rPr>
        <w:t>й</w:t>
      </w:r>
      <w:r w:rsidRPr="00767129">
        <w:rPr>
          <w:rFonts w:cs="Times New Roman"/>
          <w:szCs w:val="28"/>
        </w:rPr>
        <w:t xml:space="preserve"> </w:t>
      </w:r>
      <w:r>
        <w:rPr>
          <w:rFonts w:cs="Times New Roman"/>
          <w:szCs w:val="28"/>
        </w:rPr>
        <w:t xml:space="preserve">системе </w:t>
      </w:r>
      <w:r w:rsidRPr="00767129">
        <w:rPr>
          <w:rFonts w:cs="Times New Roman"/>
          <w:szCs w:val="28"/>
        </w:rPr>
        <w:t>налогообложени</w:t>
      </w:r>
      <w:r w:rsidR="005D080A">
        <w:rPr>
          <w:rFonts w:cs="Times New Roman"/>
          <w:szCs w:val="28"/>
        </w:rPr>
        <w:t>я</w:t>
      </w:r>
      <w:r>
        <w:rPr>
          <w:rFonts w:cs="Times New Roman"/>
          <w:szCs w:val="28"/>
        </w:rPr>
        <w:t>)</w:t>
      </w:r>
      <w:r w:rsidRPr="00767129">
        <w:rPr>
          <w:rFonts w:cs="Times New Roman"/>
          <w:szCs w:val="28"/>
        </w:rPr>
        <w:t xml:space="preserve"> </w:t>
      </w:r>
      <w:r>
        <w:rPr>
          <w:rFonts w:cs="Times New Roman"/>
          <w:szCs w:val="28"/>
        </w:rPr>
        <w:t>мало</w:t>
      </w:r>
      <w:r w:rsidRPr="00767129">
        <w:rPr>
          <w:rFonts w:cs="Times New Roman"/>
          <w:szCs w:val="28"/>
        </w:rPr>
        <w:t>рентабельн</w:t>
      </w:r>
      <w:r>
        <w:rPr>
          <w:rFonts w:cs="Times New Roman"/>
          <w:szCs w:val="28"/>
        </w:rPr>
        <w:t>о. П</w:t>
      </w:r>
      <w:r w:rsidRPr="00767129">
        <w:rPr>
          <w:rFonts w:cs="Times New Roman"/>
          <w:szCs w:val="28"/>
        </w:rPr>
        <w:t>ри отмене НДПИ проект становится рентабельным и может быть реализ</w:t>
      </w:r>
      <w:r>
        <w:rPr>
          <w:rFonts w:cs="Times New Roman"/>
          <w:szCs w:val="28"/>
        </w:rPr>
        <w:t>ован</w:t>
      </w:r>
      <w:r w:rsidRPr="00767129">
        <w:rPr>
          <w:rFonts w:cs="Times New Roman"/>
          <w:szCs w:val="28"/>
        </w:rPr>
        <w:t xml:space="preserve"> (ВНД = 17%)</w:t>
      </w:r>
      <w:r>
        <w:rPr>
          <w:rFonts w:cs="Times New Roman"/>
          <w:szCs w:val="28"/>
        </w:rPr>
        <w:t xml:space="preserve">. В случае производства </w:t>
      </w:r>
      <w:r w:rsidRPr="00767129">
        <w:rPr>
          <w:rFonts w:eastAsia="Times New Roman" w:cs="Times New Roman"/>
          <w:bCs/>
          <w:szCs w:val="28"/>
          <w:lang w:eastAsia="ru-RU"/>
        </w:rPr>
        <w:t xml:space="preserve">СПГ </w:t>
      </w:r>
      <w:r>
        <w:rPr>
          <w:rFonts w:eastAsia="Times New Roman" w:cs="Times New Roman"/>
          <w:bCs/>
          <w:szCs w:val="28"/>
          <w:lang w:eastAsia="ru-RU"/>
        </w:rPr>
        <w:t>(</w:t>
      </w:r>
      <w:r w:rsidRPr="00E7023A">
        <w:rPr>
          <w:rFonts w:eastAsia="Times New Roman" w:cs="Times New Roman"/>
          <w:bCs/>
          <w:i/>
          <w:szCs w:val="28"/>
          <w:lang w:eastAsia="ru-RU"/>
        </w:rPr>
        <w:t>вариант 3.2</w:t>
      </w:r>
      <w:r w:rsidR="00706ABB">
        <w:rPr>
          <w:rFonts w:eastAsia="Times New Roman" w:cs="Times New Roman"/>
          <w:bCs/>
          <w:i/>
          <w:szCs w:val="28"/>
          <w:lang w:eastAsia="ru-RU"/>
        </w:rPr>
        <w:t>. Ачим/СПГ</w:t>
      </w:r>
      <w:r>
        <w:rPr>
          <w:rFonts w:eastAsia="Times New Roman" w:cs="Times New Roman"/>
          <w:bCs/>
          <w:szCs w:val="28"/>
          <w:lang w:eastAsia="ru-RU"/>
        </w:rPr>
        <w:t xml:space="preserve">, </w:t>
      </w:r>
      <w:r w:rsidRPr="00767129">
        <w:rPr>
          <w:rFonts w:cs="Times New Roman"/>
          <w:szCs w:val="28"/>
        </w:rPr>
        <w:t>при действующем налогообложении</w:t>
      </w:r>
      <w:r>
        <w:rPr>
          <w:rFonts w:cs="Times New Roman"/>
          <w:szCs w:val="28"/>
        </w:rPr>
        <w:t>)</w:t>
      </w:r>
      <w:r w:rsidRPr="00767129">
        <w:rPr>
          <w:rFonts w:cs="Times New Roman"/>
          <w:szCs w:val="28"/>
        </w:rPr>
        <w:t xml:space="preserve"> </w:t>
      </w:r>
      <w:r>
        <w:rPr>
          <w:rFonts w:cs="Times New Roman"/>
          <w:szCs w:val="28"/>
        </w:rPr>
        <w:t>проект остается мало</w:t>
      </w:r>
      <w:r w:rsidRPr="00767129">
        <w:rPr>
          <w:rFonts w:cs="Times New Roman"/>
          <w:szCs w:val="28"/>
        </w:rPr>
        <w:t>рентабельн</w:t>
      </w:r>
      <w:r>
        <w:rPr>
          <w:rFonts w:cs="Times New Roman"/>
          <w:szCs w:val="28"/>
        </w:rPr>
        <w:t>ым. П</w:t>
      </w:r>
      <w:r w:rsidRPr="00767129">
        <w:rPr>
          <w:rFonts w:cs="Times New Roman"/>
          <w:szCs w:val="28"/>
        </w:rPr>
        <w:t>ри отмене НДПИ рентабельн</w:t>
      </w:r>
      <w:r>
        <w:rPr>
          <w:rFonts w:cs="Times New Roman"/>
          <w:szCs w:val="28"/>
        </w:rPr>
        <w:t xml:space="preserve">ость </w:t>
      </w:r>
      <w:r w:rsidRPr="00767129">
        <w:rPr>
          <w:rFonts w:cs="Times New Roman"/>
          <w:szCs w:val="28"/>
        </w:rPr>
        <w:t>проект</w:t>
      </w:r>
      <w:r>
        <w:rPr>
          <w:rFonts w:cs="Times New Roman"/>
          <w:szCs w:val="28"/>
        </w:rPr>
        <w:t>а повышается</w:t>
      </w:r>
      <w:r w:rsidRPr="00767129">
        <w:rPr>
          <w:rFonts w:cs="Times New Roman"/>
          <w:szCs w:val="28"/>
        </w:rPr>
        <w:t xml:space="preserve"> и потенциальные недропользователи могут им заинтересоваться. В</w:t>
      </w:r>
      <w:r>
        <w:rPr>
          <w:rFonts w:cs="Times New Roman"/>
          <w:szCs w:val="28"/>
        </w:rPr>
        <w:t xml:space="preserve"> этом случае в</w:t>
      </w:r>
      <w:r w:rsidRPr="00767129">
        <w:rPr>
          <w:rFonts w:cs="Times New Roman"/>
          <w:szCs w:val="28"/>
        </w:rPr>
        <w:t xml:space="preserve">лияние </w:t>
      </w:r>
      <w:r>
        <w:rPr>
          <w:rFonts w:cs="Times New Roman"/>
          <w:szCs w:val="28"/>
        </w:rPr>
        <w:t xml:space="preserve">дополнительных </w:t>
      </w:r>
      <w:r w:rsidR="003A438E" w:rsidRPr="003A438E">
        <w:rPr>
          <w:rFonts w:cs="Times New Roman"/>
          <w:color w:val="0000FF"/>
          <w:szCs w:val="28"/>
        </w:rPr>
        <w:t>механизмов стимулирования</w:t>
      </w:r>
      <w:r w:rsidRPr="003A438E">
        <w:rPr>
          <w:rFonts w:cs="Times New Roman"/>
          <w:color w:val="0000FF"/>
          <w:szCs w:val="28"/>
        </w:rPr>
        <w:t xml:space="preserve"> </w:t>
      </w:r>
      <w:r w:rsidRPr="00767129">
        <w:rPr>
          <w:rFonts w:cs="Times New Roman"/>
          <w:szCs w:val="28"/>
        </w:rPr>
        <w:t xml:space="preserve">на доходность ниже, </w:t>
      </w:r>
      <w:r>
        <w:rPr>
          <w:rFonts w:cs="Times New Roman"/>
          <w:szCs w:val="28"/>
        </w:rPr>
        <w:t>поскольку</w:t>
      </w:r>
      <w:r w:rsidRPr="00767129">
        <w:rPr>
          <w:rFonts w:cs="Times New Roman"/>
          <w:szCs w:val="28"/>
        </w:rPr>
        <w:t xml:space="preserve"> у СПГ</w:t>
      </w:r>
      <w:r>
        <w:rPr>
          <w:rFonts w:cs="Times New Roman"/>
          <w:szCs w:val="28"/>
        </w:rPr>
        <w:t>-</w:t>
      </w:r>
      <w:r w:rsidRPr="00767129">
        <w:rPr>
          <w:rFonts w:cs="Times New Roman"/>
          <w:szCs w:val="28"/>
        </w:rPr>
        <w:t xml:space="preserve">проектов уже есть значительные </w:t>
      </w:r>
      <w:r>
        <w:rPr>
          <w:rFonts w:cs="Times New Roman"/>
          <w:szCs w:val="28"/>
        </w:rPr>
        <w:t>преференции</w:t>
      </w:r>
      <w:r w:rsidRPr="00767129">
        <w:rPr>
          <w:rFonts w:cs="Times New Roman"/>
          <w:szCs w:val="28"/>
        </w:rPr>
        <w:t xml:space="preserve"> по налогообложению.</w:t>
      </w:r>
    </w:p>
    <w:p w14:paraId="55F91E77" w14:textId="77048DED" w:rsidR="00AE4FAE" w:rsidRPr="00767129" w:rsidRDefault="00AE4FAE" w:rsidP="00AE4FAE">
      <w:pPr>
        <w:spacing w:after="0"/>
        <w:ind w:firstLine="708"/>
        <w:rPr>
          <w:rFonts w:eastAsia="Calibri" w:cs="Times New Roman"/>
          <w:szCs w:val="28"/>
        </w:rPr>
      </w:pPr>
      <w:r w:rsidRPr="00767129">
        <w:rPr>
          <w:rFonts w:eastAsia="Calibri" w:cs="Times New Roman"/>
          <w:szCs w:val="28"/>
        </w:rPr>
        <w:t>Для того</w:t>
      </w:r>
      <w:r w:rsidR="00280EAB">
        <w:rPr>
          <w:rFonts w:eastAsia="Calibri" w:cs="Times New Roman"/>
          <w:szCs w:val="28"/>
        </w:rPr>
        <w:t>,</w:t>
      </w:r>
      <w:r w:rsidRPr="00767129">
        <w:rPr>
          <w:rFonts w:eastAsia="Calibri" w:cs="Times New Roman"/>
          <w:szCs w:val="28"/>
        </w:rPr>
        <w:t xml:space="preserve"> чтобы проект</w:t>
      </w:r>
      <w:r>
        <w:rPr>
          <w:rFonts w:eastAsia="Calibri" w:cs="Times New Roman"/>
          <w:szCs w:val="28"/>
        </w:rPr>
        <w:t xml:space="preserve"> освоения ачимовских залежей с производством </w:t>
      </w:r>
      <w:r w:rsidRPr="00767129">
        <w:rPr>
          <w:rFonts w:eastAsia="Calibri" w:cs="Times New Roman"/>
          <w:szCs w:val="28"/>
        </w:rPr>
        <w:t>СПГ</w:t>
      </w:r>
      <w:r>
        <w:rPr>
          <w:rFonts w:eastAsia="Calibri" w:cs="Times New Roman"/>
          <w:szCs w:val="28"/>
        </w:rPr>
        <w:t xml:space="preserve"> (</w:t>
      </w:r>
      <w:r w:rsidRPr="00684700">
        <w:rPr>
          <w:rFonts w:eastAsia="Calibri" w:cs="Times New Roman"/>
          <w:i/>
          <w:szCs w:val="28"/>
        </w:rPr>
        <w:t>вариант 3.2</w:t>
      </w:r>
      <w:r w:rsidR="00FE4F68">
        <w:rPr>
          <w:rFonts w:eastAsia="Calibri" w:cs="Times New Roman"/>
          <w:i/>
          <w:szCs w:val="28"/>
        </w:rPr>
        <w:t>. Ачим/СПГ</w:t>
      </w:r>
      <w:r>
        <w:rPr>
          <w:rFonts w:eastAsia="Calibri" w:cs="Times New Roman"/>
          <w:szCs w:val="28"/>
        </w:rPr>
        <w:t>)</w:t>
      </w:r>
      <w:r w:rsidRPr="00767129">
        <w:rPr>
          <w:rFonts w:eastAsia="Calibri" w:cs="Times New Roman"/>
          <w:szCs w:val="28"/>
        </w:rPr>
        <w:t xml:space="preserve"> достиг требуемого уровня рентабельности без отмены льгот нужна цена на СПГ </w:t>
      </w:r>
      <w:r>
        <w:rPr>
          <w:rFonts w:eastAsia="Calibri" w:cs="Times New Roman"/>
          <w:szCs w:val="28"/>
        </w:rPr>
        <w:t xml:space="preserve">как минимум </w:t>
      </w:r>
      <w:r w:rsidRPr="00767129">
        <w:rPr>
          <w:rFonts w:eastAsia="Calibri" w:cs="Times New Roman"/>
          <w:szCs w:val="28"/>
        </w:rPr>
        <w:t xml:space="preserve">на 30% выше заложенной в расчетах, т.е. </w:t>
      </w:r>
      <w:r>
        <w:rPr>
          <w:rFonts w:eastAsia="Calibri" w:cs="Times New Roman"/>
          <w:szCs w:val="28"/>
        </w:rPr>
        <w:t>около</w:t>
      </w:r>
      <w:r w:rsidRPr="00767129">
        <w:rPr>
          <w:rFonts w:eastAsia="Calibri" w:cs="Times New Roman"/>
          <w:szCs w:val="28"/>
        </w:rPr>
        <w:t xml:space="preserve"> 6,5 долл./MBTU</w:t>
      </w:r>
      <w:r w:rsidR="0088369B" w:rsidRPr="00377B99">
        <w:rPr>
          <w:rFonts w:eastAsia="Calibri" w:cs="Times New Roman"/>
          <w:szCs w:val="28"/>
        </w:rPr>
        <w:t xml:space="preserve"> </w:t>
      </w:r>
      <w:r w:rsidR="0088369B">
        <w:rPr>
          <w:rFonts w:eastAsia="Calibri" w:cs="Times New Roman"/>
          <w:szCs w:val="28"/>
        </w:rPr>
        <w:t xml:space="preserve">при </w:t>
      </w:r>
      <w:r w:rsidR="00CA5492">
        <w:rPr>
          <w:rFonts w:eastAsia="Calibri" w:cs="Times New Roman"/>
          <w:szCs w:val="28"/>
        </w:rPr>
        <w:t>принят</w:t>
      </w:r>
      <w:r w:rsidR="0088369B">
        <w:rPr>
          <w:rFonts w:eastAsia="Calibri" w:cs="Times New Roman"/>
          <w:szCs w:val="28"/>
        </w:rPr>
        <w:t>ой ставке дисконтирования</w:t>
      </w:r>
      <w:r w:rsidRPr="00767129">
        <w:rPr>
          <w:rFonts w:eastAsia="Calibri" w:cs="Times New Roman"/>
          <w:szCs w:val="28"/>
        </w:rPr>
        <w:t>.</w:t>
      </w:r>
    </w:p>
    <w:p w14:paraId="5112A807" w14:textId="0BC81F07" w:rsidR="00AE4FAE" w:rsidRPr="00767129" w:rsidRDefault="00AE4FAE" w:rsidP="00AE4FAE">
      <w:pPr>
        <w:spacing w:after="0"/>
        <w:ind w:firstLine="708"/>
        <w:rPr>
          <w:rFonts w:eastAsia="Calibri" w:cs="Times New Roman"/>
          <w:szCs w:val="28"/>
        </w:rPr>
      </w:pPr>
      <w:r w:rsidRPr="00767129">
        <w:rPr>
          <w:rFonts w:eastAsia="Calibri" w:cs="Times New Roman"/>
          <w:szCs w:val="28"/>
        </w:rPr>
        <w:t>СПГ</w:t>
      </w:r>
      <w:r>
        <w:rPr>
          <w:rFonts w:eastAsia="Calibri" w:cs="Times New Roman"/>
          <w:szCs w:val="28"/>
        </w:rPr>
        <w:t>-</w:t>
      </w:r>
      <w:r w:rsidRPr="00767129">
        <w:rPr>
          <w:rFonts w:eastAsia="Calibri" w:cs="Times New Roman"/>
          <w:szCs w:val="28"/>
        </w:rPr>
        <w:t xml:space="preserve">проекты требуют бо́льших </w:t>
      </w:r>
      <w:r w:rsidR="00CA5492">
        <w:rPr>
          <w:rFonts w:eastAsia="Calibri" w:cs="Times New Roman"/>
          <w:szCs w:val="28"/>
        </w:rPr>
        <w:t>инвестиц</w:t>
      </w:r>
      <w:r w:rsidRPr="00767129">
        <w:rPr>
          <w:rFonts w:eastAsia="Calibri" w:cs="Times New Roman"/>
          <w:szCs w:val="28"/>
        </w:rPr>
        <w:t>ий.</w:t>
      </w:r>
      <w:r>
        <w:rPr>
          <w:rFonts w:eastAsia="Calibri" w:cs="Times New Roman"/>
          <w:szCs w:val="28"/>
        </w:rPr>
        <w:t xml:space="preserve"> Соответственно, у</w:t>
      </w:r>
      <w:r w:rsidRPr="00767129">
        <w:rPr>
          <w:rFonts w:eastAsia="Calibri" w:cs="Times New Roman"/>
          <w:szCs w:val="28"/>
        </w:rPr>
        <w:t>дельные капитальные затраты на добычу и подготовку природного газа в случае реализации СПГ</w:t>
      </w:r>
      <w:r>
        <w:rPr>
          <w:rFonts w:eastAsia="Calibri" w:cs="Times New Roman"/>
          <w:szCs w:val="28"/>
        </w:rPr>
        <w:t>-</w:t>
      </w:r>
      <w:r w:rsidRPr="00767129">
        <w:rPr>
          <w:rFonts w:eastAsia="Calibri" w:cs="Times New Roman"/>
          <w:szCs w:val="28"/>
        </w:rPr>
        <w:t xml:space="preserve">проектов </w:t>
      </w:r>
      <w:r w:rsidR="00280EAB">
        <w:rPr>
          <w:rFonts w:eastAsia="Calibri" w:cs="Times New Roman"/>
          <w:szCs w:val="28"/>
        </w:rPr>
        <w:t xml:space="preserve">также </w:t>
      </w:r>
      <w:r w:rsidRPr="00767129">
        <w:rPr>
          <w:rFonts w:eastAsia="Calibri" w:cs="Times New Roman"/>
          <w:szCs w:val="28"/>
        </w:rPr>
        <w:t>выше</w:t>
      </w:r>
      <w:r>
        <w:rPr>
          <w:rFonts w:eastAsia="Calibri" w:cs="Times New Roman"/>
          <w:szCs w:val="28"/>
        </w:rPr>
        <w:t>. Для сравнения в</w:t>
      </w:r>
      <w:r w:rsidRPr="00767129">
        <w:rPr>
          <w:rFonts w:eastAsia="Calibri" w:cs="Times New Roman"/>
          <w:szCs w:val="28"/>
        </w:rPr>
        <w:t xml:space="preserve"> </w:t>
      </w:r>
      <w:r w:rsidRPr="00684700">
        <w:rPr>
          <w:rFonts w:eastAsia="Calibri" w:cs="Times New Roman"/>
          <w:i/>
          <w:szCs w:val="28"/>
        </w:rPr>
        <w:t>вариант</w:t>
      </w:r>
      <w:r>
        <w:rPr>
          <w:rFonts w:eastAsia="Calibri" w:cs="Times New Roman"/>
          <w:i/>
          <w:szCs w:val="28"/>
        </w:rPr>
        <w:t>е</w:t>
      </w:r>
      <w:r w:rsidRPr="00684700">
        <w:rPr>
          <w:rFonts w:eastAsia="Calibri" w:cs="Times New Roman"/>
          <w:i/>
          <w:szCs w:val="28"/>
        </w:rPr>
        <w:t xml:space="preserve"> 1.1</w:t>
      </w:r>
      <w:r w:rsidR="00BF04A9">
        <w:rPr>
          <w:rFonts w:eastAsia="Calibri" w:cs="Times New Roman"/>
          <w:i/>
          <w:szCs w:val="28"/>
        </w:rPr>
        <w:t>.</w:t>
      </w:r>
      <w:r w:rsidRPr="00767129">
        <w:rPr>
          <w:rFonts w:eastAsia="Calibri" w:cs="Times New Roman"/>
          <w:szCs w:val="28"/>
        </w:rPr>
        <w:t xml:space="preserve"> </w:t>
      </w:r>
      <w:r w:rsidR="00CA5492" w:rsidRPr="00CA5492">
        <w:rPr>
          <w:rFonts w:eastAsia="Calibri" w:cs="Times New Roman"/>
          <w:i/>
          <w:szCs w:val="28"/>
        </w:rPr>
        <w:t>С</w:t>
      </w:r>
      <w:r w:rsidR="0088369B" w:rsidRPr="00CA5492">
        <w:rPr>
          <w:rFonts w:eastAsia="Calibri" w:cs="Times New Roman"/>
          <w:i/>
          <w:szCs w:val="28"/>
        </w:rPr>
        <w:t>еноман</w:t>
      </w:r>
      <w:r w:rsidR="00CA5492" w:rsidRPr="00CA5492">
        <w:rPr>
          <w:rFonts w:eastAsia="Calibri" w:cs="Times New Roman"/>
          <w:i/>
          <w:szCs w:val="28"/>
        </w:rPr>
        <w:t>/</w:t>
      </w:r>
      <w:r w:rsidR="0088369B" w:rsidRPr="00CA5492">
        <w:rPr>
          <w:rFonts w:eastAsia="Calibri" w:cs="Times New Roman"/>
          <w:i/>
          <w:szCs w:val="28"/>
        </w:rPr>
        <w:t>ЕСГ</w:t>
      </w:r>
      <w:r w:rsidR="0088369B">
        <w:rPr>
          <w:rFonts w:eastAsia="Calibri" w:cs="Times New Roman"/>
          <w:szCs w:val="28"/>
        </w:rPr>
        <w:t xml:space="preserve"> </w:t>
      </w:r>
      <w:r>
        <w:rPr>
          <w:rFonts w:eastAsia="Calibri" w:cs="Times New Roman"/>
          <w:szCs w:val="28"/>
        </w:rPr>
        <w:t>удельные затраты</w:t>
      </w:r>
      <w:r w:rsidRPr="00767129">
        <w:rPr>
          <w:rFonts w:eastAsia="Calibri" w:cs="Times New Roman"/>
          <w:szCs w:val="28"/>
        </w:rPr>
        <w:t xml:space="preserve"> </w:t>
      </w:r>
      <w:r>
        <w:rPr>
          <w:rFonts w:eastAsia="Calibri" w:cs="Times New Roman"/>
          <w:szCs w:val="28"/>
        </w:rPr>
        <w:t xml:space="preserve">на уровне </w:t>
      </w:r>
      <w:r w:rsidRPr="00767129">
        <w:rPr>
          <w:rFonts w:eastAsia="Calibri" w:cs="Times New Roman"/>
          <w:szCs w:val="28"/>
        </w:rPr>
        <w:t xml:space="preserve">1,1 долл./барр. н.э.; </w:t>
      </w:r>
      <w:r>
        <w:rPr>
          <w:rFonts w:eastAsia="Calibri" w:cs="Times New Roman"/>
          <w:szCs w:val="28"/>
        </w:rPr>
        <w:t xml:space="preserve">в </w:t>
      </w:r>
      <w:r w:rsidRPr="00684700">
        <w:rPr>
          <w:rFonts w:eastAsia="Calibri" w:cs="Times New Roman"/>
          <w:i/>
          <w:szCs w:val="28"/>
        </w:rPr>
        <w:t>вариант</w:t>
      </w:r>
      <w:r>
        <w:rPr>
          <w:rFonts w:eastAsia="Calibri" w:cs="Times New Roman"/>
          <w:i/>
          <w:szCs w:val="28"/>
        </w:rPr>
        <w:t>е</w:t>
      </w:r>
      <w:r w:rsidRPr="00684700">
        <w:rPr>
          <w:rFonts w:eastAsia="Calibri" w:cs="Times New Roman"/>
          <w:i/>
          <w:szCs w:val="28"/>
        </w:rPr>
        <w:t xml:space="preserve"> 3.1</w:t>
      </w:r>
      <w:r w:rsidR="00BF04A9">
        <w:rPr>
          <w:rFonts w:eastAsia="Calibri" w:cs="Times New Roman"/>
          <w:i/>
          <w:szCs w:val="28"/>
        </w:rPr>
        <w:t>.</w:t>
      </w:r>
      <w:r w:rsidRPr="00767129">
        <w:rPr>
          <w:rFonts w:eastAsia="Calibri" w:cs="Times New Roman"/>
          <w:szCs w:val="28"/>
        </w:rPr>
        <w:t xml:space="preserve"> </w:t>
      </w:r>
      <w:r w:rsidR="00CA5492" w:rsidRPr="00CA5492">
        <w:rPr>
          <w:rFonts w:eastAsia="Calibri" w:cs="Times New Roman"/>
          <w:i/>
          <w:szCs w:val="28"/>
        </w:rPr>
        <w:t>А</w:t>
      </w:r>
      <w:r w:rsidR="0088369B" w:rsidRPr="00CA5492">
        <w:rPr>
          <w:rFonts w:eastAsia="Calibri" w:cs="Times New Roman"/>
          <w:i/>
          <w:szCs w:val="28"/>
        </w:rPr>
        <w:t>чи</w:t>
      </w:r>
      <w:r w:rsidR="00CA5492" w:rsidRPr="00CA5492">
        <w:rPr>
          <w:rFonts w:eastAsia="Calibri" w:cs="Times New Roman"/>
          <w:i/>
          <w:szCs w:val="28"/>
        </w:rPr>
        <w:t>м/</w:t>
      </w:r>
      <w:r w:rsidR="0088369B" w:rsidRPr="00CA5492">
        <w:rPr>
          <w:rFonts w:eastAsia="Calibri" w:cs="Times New Roman"/>
          <w:i/>
          <w:szCs w:val="28"/>
        </w:rPr>
        <w:t>ЕСГ</w:t>
      </w:r>
      <w:r w:rsidR="00CA5492">
        <w:rPr>
          <w:rFonts w:eastAsia="Calibri" w:cs="Times New Roman"/>
          <w:szCs w:val="28"/>
        </w:rPr>
        <w:t xml:space="preserve"> </w:t>
      </w:r>
      <w:r w:rsidRPr="00767129">
        <w:rPr>
          <w:rFonts w:cs="Times New Roman"/>
          <w:szCs w:val="28"/>
        </w:rPr>
        <w:t>–</w:t>
      </w:r>
      <w:r w:rsidRPr="00767129">
        <w:rPr>
          <w:rFonts w:eastAsia="Calibri" w:cs="Times New Roman"/>
          <w:szCs w:val="28"/>
        </w:rPr>
        <w:t xml:space="preserve"> 3 долл./барр. н.э.; </w:t>
      </w:r>
      <w:r>
        <w:rPr>
          <w:rFonts w:eastAsia="Calibri" w:cs="Times New Roman"/>
          <w:szCs w:val="28"/>
        </w:rPr>
        <w:t xml:space="preserve">а в </w:t>
      </w:r>
      <w:r w:rsidRPr="00767129">
        <w:rPr>
          <w:rFonts w:eastAsia="Calibri" w:cs="Times New Roman"/>
          <w:szCs w:val="28"/>
        </w:rPr>
        <w:t>СПГ</w:t>
      </w:r>
      <w:r>
        <w:rPr>
          <w:rFonts w:eastAsia="Calibri" w:cs="Times New Roman"/>
          <w:szCs w:val="28"/>
        </w:rPr>
        <w:t>-</w:t>
      </w:r>
      <w:r w:rsidRPr="00767129">
        <w:rPr>
          <w:rFonts w:eastAsia="Calibri" w:cs="Times New Roman"/>
          <w:szCs w:val="28"/>
        </w:rPr>
        <w:t>проект</w:t>
      </w:r>
      <w:r>
        <w:rPr>
          <w:rFonts w:eastAsia="Calibri" w:cs="Times New Roman"/>
          <w:szCs w:val="28"/>
        </w:rPr>
        <w:t>ах</w:t>
      </w:r>
      <w:r w:rsidRPr="00767129">
        <w:rPr>
          <w:rFonts w:eastAsia="Calibri" w:cs="Times New Roman"/>
          <w:szCs w:val="28"/>
        </w:rPr>
        <w:t xml:space="preserve"> </w:t>
      </w:r>
      <w:r w:rsidRPr="00767129">
        <w:rPr>
          <w:rFonts w:cs="Times New Roman"/>
          <w:szCs w:val="28"/>
        </w:rPr>
        <w:t>–</w:t>
      </w:r>
      <w:r w:rsidRPr="00767129">
        <w:rPr>
          <w:rFonts w:eastAsia="Calibri" w:cs="Times New Roman"/>
          <w:szCs w:val="28"/>
        </w:rPr>
        <w:t xml:space="preserve"> </w:t>
      </w:r>
      <w:r>
        <w:rPr>
          <w:rFonts w:eastAsia="Calibri" w:cs="Times New Roman"/>
          <w:szCs w:val="28"/>
        </w:rPr>
        <w:t xml:space="preserve">на уровне </w:t>
      </w:r>
      <w:r w:rsidRPr="00767129">
        <w:rPr>
          <w:rFonts w:eastAsia="Calibri" w:cs="Times New Roman"/>
          <w:szCs w:val="28"/>
        </w:rPr>
        <w:t>7,5</w:t>
      </w:r>
      <w:r w:rsidRPr="00767129">
        <w:rPr>
          <w:rFonts w:cs="Times New Roman"/>
          <w:szCs w:val="28"/>
        </w:rPr>
        <w:t>–</w:t>
      </w:r>
      <w:r w:rsidRPr="00767129">
        <w:rPr>
          <w:rFonts w:eastAsia="Calibri" w:cs="Times New Roman"/>
          <w:szCs w:val="28"/>
        </w:rPr>
        <w:t xml:space="preserve">7,9 долл./барр. н.э. </w:t>
      </w:r>
    </w:p>
    <w:p w14:paraId="53C4E47E" w14:textId="6FAF2F9F" w:rsidR="00AE4FAE" w:rsidRPr="00767129" w:rsidRDefault="00AE4FAE" w:rsidP="00AE4FAE">
      <w:pPr>
        <w:spacing w:after="0"/>
        <w:rPr>
          <w:rFonts w:cs="Times New Roman"/>
          <w:szCs w:val="28"/>
        </w:rPr>
      </w:pPr>
      <w:r w:rsidRPr="00767129">
        <w:rPr>
          <w:rFonts w:cs="Times New Roman"/>
          <w:szCs w:val="28"/>
        </w:rPr>
        <w:t xml:space="preserve">Таким образом, </w:t>
      </w:r>
      <w:r w:rsidR="00FE4F68">
        <w:rPr>
          <w:rFonts w:cs="Times New Roman"/>
          <w:szCs w:val="28"/>
        </w:rPr>
        <w:t>в</w:t>
      </w:r>
      <w:r w:rsidRPr="00767129">
        <w:rPr>
          <w:rFonts w:cs="Times New Roman"/>
          <w:szCs w:val="28"/>
        </w:rPr>
        <w:t xml:space="preserve"> вариант</w:t>
      </w:r>
      <w:r>
        <w:rPr>
          <w:rFonts w:cs="Times New Roman"/>
          <w:szCs w:val="28"/>
        </w:rPr>
        <w:t>ах</w:t>
      </w:r>
      <w:r w:rsidRPr="00767129">
        <w:rPr>
          <w:rFonts w:cs="Times New Roman"/>
          <w:szCs w:val="28"/>
        </w:rPr>
        <w:t xml:space="preserve"> </w:t>
      </w:r>
      <w:r>
        <w:rPr>
          <w:rFonts w:cs="Times New Roman"/>
          <w:szCs w:val="28"/>
        </w:rPr>
        <w:t>поставки</w:t>
      </w:r>
      <w:r w:rsidRPr="00767129">
        <w:rPr>
          <w:rFonts w:cs="Times New Roman"/>
          <w:szCs w:val="28"/>
        </w:rPr>
        <w:t xml:space="preserve"> трубопроводного газа </w:t>
      </w:r>
      <w:r>
        <w:rPr>
          <w:rFonts w:cs="Times New Roman"/>
          <w:szCs w:val="28"/>
        </w:rPr>
        <w:t xml:space="preserve">в </w:t>
      </w:r>
      <w:r w:rsidRPr="00767129">
        <w:rPr>
          <w:rFonts w:cs="Times New Roman"/>
          <w:szCs w:val="28"/>
        </w:rPr>
        <w:t>ЕС</w:t>
      </w:r>
      <w:r>
        <w:rPr>
          <w:rFonts w:cs="Times New Roman"/>
          <w:szCs w:val="28"/>
        </w:rPr>
        <w:t>Г</w:t>
      </w:r>
      <w:r w:rsidRPr="00767129">
        <w:rPr>
          <w:rFonts w:cs="Times New Roman"/>
          <w:szCs w:val="28"/>
        </w:rPr>
        <w:t xml:space="preserve"> при </w:t>
      </w:r>
      <w:r w:rsidR="00FE4F68">
        <w:rPr>
          <w:rFonts w:cs="Times New Roman"/>
          <w:szCs w:val="28"/>
        </w:rPr>
        <w:t>действую</w:t>
      </w:r>
      <w:r w:rsidRPr="00767129">
        <w:rPr>
          <w:rFonts w:cs="Times New Roman"/>
          <w:szCs w:val="28"/>
        </w:rPr>
        <w:t>щем налогообложении недропользователи будут заинтересованы только в разработке неокомских залежей</w:t>
      </w:r>
      <w:r>
        <w:rPr>
          <w:rFonts w:cs="Times New Roman"/>
          <w:szCs w:val="28"/>
        </w:rPr>
        <w:t xml:space="preserve"> (</w:t>
      </w:r>
      <w:r w:rsidRPr="00684700">
        <w:rPr>
          <w:rFonts w:cs="Times New Roman"/>
          <w:i/>
          <w:szCs w:val="28"/>
        </w:rPr>
        <w:t>вариант 2.1</w:t>
      </w:r>
      <w:r w:rsidR="00FE4F68">
        <w:rPr>
          <w:rFonts w:cs="Times New Roman"/>
          <w:i/>
          <w:szCs w:val="28"/>
        </w:rPr>
        <w:t>. Неоком/ЕСГ</w:t>
      </w:r>
      <w:r>
        <w:rPr>
          <w:rFonts w:cs="Times New Roman"/>
          <w:szCs w:val="28"/>
        </w:rPr>
        <w:t>)</w:t>
      </w:r>
      <w:r w:rsidRPr="00767129">
        <w:rPr>
          <w:rFonts w:cs="Times New Roman"/>
          <w:szCs w:val="28"/>
        </w:rPr>
        <w:t>. В случае отмен</w:t>
      </w:r>
      <w:r>
        <w:rPr>
          <w:rFonts w:cs="Times New Roman"/>
          <w:szCs w:val="28"/>
        </w:rPr>
        <w:t>ы</w:t>
      </w:r>
      <w:r w:rsidRPr="00767129">
        <w:rPr>
          <w:rFonts w:cs="Times New Roman"/>
          <w:szCs w:val="28"/>
        </w:rPr>
        <w:t xml:space="preserve"> НДПИ на весь период разработки </w:t>
      </w:r>
      <w:r>
        <w:rPr>
          <w:rFonts w:cs="Times New Roman"/>
          <w:szCs w:val="28"/>
        </w:rPr>
        <w:t xml:space="preserve">для </w:t>
      </w:r>
      <w:r w:rsidRPr="00767129">
        <w:rPr>
          <w:rFonts w:cs="Times New Roman"/>
          <w:szCs w:val="28"/>
        </w:rPr>
        <w:t>недропользовател</w:t>
      </w:r>
      <w:r>
        <w:rPr>
          <w:rFonts w:cs="Times New Roman"/>
          <w:szCs w:val="28"/>
        </w:rPr>
        <w:t>ей</w:t>
      </w:r>
      <w:r w:rsidRPr="00767129">
        <w:rPr>
          <w:rFonts w:cs="Times New Roman"/>
          <w:szCs w:val="28"/>
        </w:rPr>
        <w:t xml:space="preserve"> становится </w:t>
      </w:r>
      <w:r>
        <w:rPr>
          <w:rFonts w:cs="Times New Roman"/>
          <w:szCs w:val="28"/>
        </w:rPr>
        <w:t>эффективным освоение</w:t>
      </w:r>
      <w:r w:rsidRPr="00767129">
        <w:rPr>
          <w:rFonts w:cs="Times New Roman"/>
          <w:szCs w:val="28"/>
        </w:rPr>
        <w:t xml:space="preserve"> ачимовских и юрских отложений</w:t>
      </w:r>
      <w:r>
        <w:rPr>
          <w:rFonts w:cs="Times New Roman"/>
          <w:szCs w:val="28"/>
        </w:rPr>
        <w:t xml:space="preserve"> (</w:t>
      </w:r>
      <w:r w:rsidRPr="00684700">
        <w:rPr>
          <w:rFonts w:cs="Times New Roman"/>
          <w:i/>
          <w:szCs w:val="28"/>
        </w:rPr>
        <w:t>вариант 3.1</w:t>
      </w:r>
      <w:r w:rsidR="00FE4F68">
        <w:rPr>
          <w:rFonts w:cs="Times New Roman"/>
          <w:i/>
          <w:szCs w:val="28"/>
        </w:rPr>
        <w:t>. Ачим/ЕСГ</w:t>
      </w:r>
      <w:r>
        <w:rPr>
          <w:rFonts w:cs="Times New Roman"/>
          <w:szCs w:val="28"/>
        </w:rPr>
        <w:t>)</w:t>
      </w:r>
      <w:r w:rsidRPr="00767129">
        <w:rPr>
          <w:rFonts w:cs="Times New Roman"/>
          <w:szCs w:val="28"/>
        </w:rPr>
        <w:t xml:space="preserve">. Однако введение льгот </w:t>
      </w:r>
      <w:r>
        <w:rPr>
          <w:rFonts w:cs="Times New Roman"/>
          <w:szCs w:val="28"/>
        </w:rPr>
        <w:t>по</w:t>
      </w:r>
      <w:r w:rsidRPr="00767129">
        <w:rPr>
          <w:rFonts w:cs="Times New Roman"/>
          <w:szCs w:val="28"/>
        </w:rPr>
        <w:t xml:space="preserve"> НДПИ существенно скажется на </w:t>
      </w:r>
      <w:r w:rsidR="000F58CD">
        <w:rPr>
          <w:rFonts w:cs="Times New Roman"/>
          <w:szCs w:val="28"/>
        </w:rPr>
        <w:t xml:space="preserve">налоговых </w:t>
      </w:r>
      <w:r w:rsidRPr="00767129">
        <w:rPr>
          <w:rFonts w:cs="Times New Roman"/>
          <w:szCs w:val="28"/>
        </w:rPr>
        <w:t>доходах государства</w:t>
      </w:r>
      <w:r w:rsidR="007666CF">
        <w:rPr>
          <w:rFonts w:cs="Times New Roman"/>
          <w:szCs w:val="28"/>
        </w:rPr>
        <w:t>:</w:t>
      </w:r>
      <w:r w:rsidRPr="00767129">
        <w:rPr>
          <w:rFonts w:cs="Times New Roman"/>
          <w:szCs w:val="28"/>
        </w:rPr>
        <w:t xml:space="preserve"> падение на 50–60%</w:t>
      </w:r>
      <w:r w:rsidR="007666CF">
        <w:rPr>
          <w:rFonts w:cs="Times New Roman"/>
          <w:szCs w:val="28"/>
        </w:rPr>
        <w:t xml:space="preserve"> (</w:t>
      </w:r>
      <w:r w:rsidR="007666CF" w:rsidRPr="008813C9">
        <w:rPr>
          <w:rFonts w:cs="Times New Roman"/>
          <w:color w:val="0000FF"/>
          <w:szCs w:val="28"/>
        </w:rPr>
        <w:t>рис</w:t>
      </w:r>
      <w:r w:rsidR="0068067C">
        <w:rPr>
          <w:rFonts w:cs="Times New Roman"/>
          <w:color w:val="0000FF"/>
          <w:szCs w:val="28"/>
        </w:rPr>
        <w:t>.</w:t>
      </w:r>
      <w:r w:rsidR="007666CF" w:rsidRPr="008813C9">
        <w:rPr>
          <w:rFonts w:cs="Times New Roman"/>
          <w:color w:val="0000FF"/>
          <w:szCs w:val="28"/>
        </w:rPr>
        <w:t xml:space="preserve"> </w:t>
      </w:r>
      <w:r w:rsidR="00413FDD">
        <w:rPr>
          <w:rFonts w:cs="Times New Roman"/>
          <w:color w:val="0000FF"/>
          <w:szCs w:val="28"/>
        </w:rPr>
        <w:t>2</w:t>
      </w:r>
      <w:r w:rsidR="007666CF">
        <w:rPr>
          <w:rFonts w:cs="Times New Roman"/>
          <w:szCs w:val="28"/>
        </w:rPr>
        <w:t>)</w:t>
      </w:r>
      <w:r w:rsidRPr="00767129">
        <w:rPr>
          <w:rFonts w:cs="Times New Roman"/>
          <w:szCs w:val="28"/>
        </w:rPr>
        <w:t>.</w:t>
      </w:r>
    </w:p>
    <w:p w14:paraId="437E8858" w14:textId="74F6E757" w:rsidR="00AE4FAE" w:rsidRPr="00767129" w:rsidRDefault="00AE4FAE" w:rsidP="00AE4FAE">
      <w:pPr>
        <w:spacing w:after="0"/>
        <w:rPr>
          <w:rFonts w:cs="Times New Roman"/>
          <w:szCs w:val="28"/>
        </w:rPr>
      </w:pPr>
      <w:r w:rsidRPr="00767129">
        <w:rPr>
          <w:rFonts w:cs="Times New Roman"/>
          <w:szCs w:val="28"/>
        </w:rPr>
        <w:t>При этом в случае реализации СПГ</w:t>
      </w:r>
      <w:r>
        <w:rPr>
          <w:rFonts w:cs="Times New Roman"/>
          <w:szCs w:val="28"/>
        </w:rPr>
        <w:t>-</w:t>
      </w:r>
      <w:r w:rsidRPr="00767129">
        <w:rPr>
          <w:rFonts w:cs="Times New Roman"/>
          <w:szCs w:val="28"/>
        </w:rPr>
        <w:t>проектов, государство, напротив, получает существенно более высоки</w:t>
      </w:r>
      <w:r>
        <w:rPr>
          <w:rFonts w:cs="Times New Roman"/>
          <w:szCs w:val="28"/>
        </w:rPr>
        <w:t>е</w:t>
      </w:r>
      <w:r w:rsidRPr="00767129">
        <w:rPr>
          <w:rFonts w:cs="Times New Roman"/>
          <w:szCs w:val="28"/>
        </w:rPr>
        <w:t xml:space="preserve"> </w:t>
      </w:r>
      <w:r>
        <w:rPr>
          <w:rFonts w:cs="Times New Roman"/>
          <w:szCs w:val="28"/>
        </w:rPr>
        <w:t xml:space="preserve">налоговые </w:t>
      </w:r>
      <w:r w:rsidRPr="00767129">
        <w:rPr>
          <w:rFonts w:cs="Times New Roman"/>
          <w:szCs w:val="28"/>
        </w:rPr>
        <w:t>доход</w:t>
      </w:r>
      <w:r>
        <w:rPr>
          <w:rFonts w:cs="Times New Roman"/>
          <w:szCs w:val="28"/>
        </w:rPr>
        <w:t>ы</w:t>
      </w:r>
      <w:r w:rsidRPr="00767129">
        <w:rPr>
          <w:rFonts w:cs="Times New Roman"/>
          <w:szCs w:val="28"/>
        </w:rPr>
        <w:t xml:space="preserve"> по сравнению с </w:t>
      </w:r>
      <w:r w:rsidRPr="00767129">
        <w:rPr>
          <w:rFonts w:cs="Times New Roman"/>
          <w:szCs w:val="28"/>
        </w:rPr>
        <w:lastRenderedPageBreak/>
        <w:t>трубопроводными проектами (</w:t>
      </w:r>
      <w:r>
        <w:rPr>
          <w:rFonts w:cs="Times New Roman"/>
          <w:szCs w:val="28"/>
        </w:rPr>
        <w:t xml:space="preserve">прирост </w:t>
      </w:r>
      <w:r w:rsidRPr="00767129">
        <w:rPr>
          <w:rFonts w:cs="Times New Roman"/>
          <w:szCs w:val="28"/>
        </w:rPr>
        <w:t xml:space="preserve">до 30–35%). Однако из-за высокой капиталоемкости рентабельность этих проектов </w:t>
      </w:r>
      <w:r>
        <w:rPr>
          <w:rFonts w:cs="Times New Roman"/>
          <w:szCs w:val="28"/>
        </w:rPr>
        <w:t>для</w:t>
      </w:r>
      <w:r w:rsidRPr="00767129">
        <w:rPr>
          <w:rFonts w:cs="Times New Roman"/>
          <w:szCs w:val="28"/>
        </w:rPr>
        <w:t xml:space="preserve"> </w:t>
      </w:r>
      <w:r>
        <w:rPr>
          <w:rFonts w:cs="Times New Roman"/>
          <w:szCs w:val="28"/>
        </w:rPr>
        <w:t>потенциальных инвесторов</w:t>
      </w:r>
      <w:r w:rsidRPr="00767129">
        <w:rPr>
          <w:rFonts w:cs="Times New Roman"/>
          <w:szCs w:val="28"/>
        </w:rPr>
        <w:t xml:space="preserve"> ниже </w:t>
      </w:r>
      <w:r>
        <w:rPr>
          <w:rFonts w:cs="Times New Roman"/>
          <w:szCs w:val="28"/>
        </w:rPr>
        <w:t>требуемого уровня</w:t>
      </w:r>
      <w:r w:rsidRPr="00767129">
        <w:rPr>
          <w:rFonts w:cs="Times New Roman"/>
          <w:szCs w:val="28"/>
        </w:rPr>
        <w:t>.</w:t>
      </w:r>
      <w:r w:rsidR="0088369B">
        <w:rPr>
          <w:rFonts w:cs="Times New Roman"/>
          <w:szCs w:val="28"/>
        </w:rPr>
        <w:t xml:space="preserve"> Таким образом, для заинтересованности инвесторов в проектах </w:t>
      </w:r>
      <w:r w:rsidR="00142BB0">
        <w:rPr>
          <w:rFonts w:cs="Times New Roman"/>
          <w:szCs w:val="28"/>
        </w:rPr>
        <w:t>представляется необходимым обеспечить стартовые условия реализации проект</w:t>
      </w:r>
      <w:r w:rsidR="00BF04A9">
        <w:rPr>
          <w:rFonts w:cs="Times New Roman"/>
          <w:szCs w:val="28"/>
        </w:rPr>
        <w:t>ов</w:t>
      </w:r>
      <w:r w:rsidR="00142BB0">
        <w:rPr>
          <w:rFonts w:cs="Times New Roman"/>
          <w:szCs w:val="28"/>
        </w:rPr>
        <w:t xml:space="preserve"> на приемлемом уровне</w:t>
      </w:r>
      <w:r w:rsidR="00BF04A9">
        <w:rPr>
          <w:rFonts w:cs="Times New Roman"/>
          <w:szCs w:val="28"/>
        </w:rPr>
        <w:t>:</w:t>
      </w:r>
      <w:r w:rsidR="0088369B">
        <w:rPr>
          <w:rFonts w:cs="Times New Roman"/>
          <w:szCs w:val="28"/>
        </w:rPr>
        <w:t xml:space="preserve"> </w:t>
      </w:r>
      <w:r w:rsidR="00142BB0">
        <w:rPr>
          <w:rFonts w:cs="Times New Roman"/>
          <w:szCs w:val="28"/>
        </w:rPr>
        <w:t>либо при помощи налоговых преференций непосредственно на стадии освоения и добычи природного газа, либо обеспеч</w:t>
      </w:r>
      <w:r w:rsidR="00BF04A9">
        <w:rPr>
          <w:rFonts w:cs="Times New Roman"/>
          <w:szCs w:val="28"/>
        </w:rPr>
        <w:t>ива</w:t>
      </w:r>
      <w:r w:rsidR="00142BB0">
        <w:rPr>
          <w:rFonts w:cs="Times New Roman"/>
          <w:szCs w:val="28"/>
        </w:rPr>
        <w:t>я доступ к необходимому оборудованию на приемлемом ценовом уровне.</w:t>
      </w:r>
      <w:r w:rsidR="0088369B">
        <w:rPr>
          <w:rFonts w:cs="Times New Roman"/>
          <w:szCs w:val="28"/>
        </w:rPr>
        <w:t xml:space="preserve"> </w:t>
      </w:r>
    </w:p>
    <w:p w14:paraId="68417840" w14:textId="212FD194" w:rsidR="00AE4FAE" w:rsidRPr="00767129" w:rsidRDefault="007666CF" w:rsidP="00AE4FAE">
      <w:pPr>
        <w:spacing w:after="0"/>
        <w:rPr>
          <w:rFonts w:cs="Times New Roman"/>
          <w:szCs w:val="28"/>
        </w:rPr>
      </w:pPr>
      <w:bookmarkStart w:id="10" w:name="_Hlk169357669"/>
      <w:r>
        <w:rPr>
          <w:rFonts w:cs="Times New Roman"/>
          <w:szCs w:val="28"/>
        </w:rPr>
        <w:t>П</w:t>
      </w:r>
      <w:r w:rsidR="00AE4FAE" w:rsidRPr="008813C9">
        <w:rPr>
          <w:rFonts w:cs="Times New Roman"/>
          <w:bCs/>
          <w:szCs w:val="28"/>
        </w:rPr>
        <w:t xml:space="preserve">ерспективным </w:t>
      </w:r>
      <w:r w:rsidR="00280EAB">
        <w:rPr>
          <w:rFonts w:cs="Times New Roman"/>
          <w:bCs/>
          <w:szCs w:val="28"/>
        </w:rPr>
        <w:t>направлени</w:t>
      </w:r>
      <w:r w:rsidR="000F58CD">
        <w:rPr>
          <w:rFonts w:cs="Times New Roman"/>
          <w:bCs/>
          <w:szCs w:val="28"/>
        </w:rPr>
        <w:t>ем</w:t>
      </w:r>
      <w:r w:rsidR="00280EAB">
        <w:rPr>
          <w:rFonts w:cs="Times New Roman"/>
          <w:bCs/>
          <w:szCs w:val="28"/>
        </w:rPr>
        <w:t xml:space="preserve"> </w:t>
      </w:r>
      <w:r w:rsidR="00AE4FAE" w:rsidRPr="00596096">
        <w:rPr>
          <w:rFonts w:cs="Times New Roman"/>
          <w:bCs/>
          <w:color w:val="0000FF"/>
          <w:szCs w:val="28"/>
        </w:rPr>
        <w:t>для пр</w:t>
      </w:r>
      <w:r w:rsidR="00596096" w:rsidRPr="00596096">
        <w:rPr>
          <w:rFonts w:cs="Times New Roman"/>
          <w:bCs/>
          <w:color w:val="0000FF"/>
          <w:szCs w:val="28"/>
        </w:rPr>
        <w:t>именения налоговых стимулов</w:t>
      </w:r>
      <w:r w:rsidR="00AE4FAE" w:rsidRPr="00596096">
        <w:rPr>
          <w:rFonts w:cs="Times New Roman"/>
          <w:bCs/>
          <w:color w:val="0000FF"/>
          <w:szCs w:val="28"/>
        </w:rPr>
        <w:t xml:space="preserve"> </w:t>
      </w:r>
      <w:r w:rsidR="00AE4FAE" w:rsidRPr="008813C9">
        <w:rPr>
          <w:rFonts w:cs="Times New Roman"/>
          <w:bCs/>
          <w:szCs w:val="28"/>
        </w:rPr>
        <w:t>как для государства, так и для недропользователей является разработка</w:t>
      </w:r>
      <w:r w:rsidR="00AE4FAE" w:rsidRPr="008813C9">
        <w:rPr>
          <w:rFonts w:cs="Times New Roman"/>
          <w:b/>
          <w:bCs/>
          <w:szCs w:val="28"/>
        </w:rPr>
        <w:t xml:space="preserve"> </w:t>
      </w:r>
      <w:r w:rsidR="00AE4FAE" w:rsidRPr="008813C9">
        <w:rPr>
          <w:noProof/>
        </w:rPr>
        <w:t xml:space="preserve">ачимовских и юрских </w:t>
      </w:r>
      <w:r w:rsidR="00AE4FAE" w:rsidRPr="008813C9">
        <w:rPr>
          <w:rFonts w:cs="Times New Roman"/>
          <w:bCs/>
          <w:szCs w:val="28"/>
        </w:rPr>
        <w:t xml:space="preserve">залежей </w:t>
      </w:r>
      <w:bookmarkEnd w:id="10"/>
      <w:r w:rsidR="00280EAB">
        <w:rPr>
          <w:rFonts w:cs="Times New Roman"/>
          <w:bCs/>
          <w:szCs w:val="28"/>
        </w:rPr>
        <w:t xml:space="preserve">при </w:t>
      </w:r>
      <w:r w:rsidR="00AE4FAE" w:rsidRPr="008813C9">
        <w:rPr>
          <w:rFonts w:cs="Times New Roman"/>
          <w:szCs w:val="28"/>
        </w:rPr>
        <w:t>поставк</w:t>
      </w:r>
      <w:r w:rsidR="00280EAB">
        <w:rPr>
          <w:rFonts w:cs="Times New Roman"/>
          <w:szCs w:val="28"/>
        </w:rPr>
        <w:t>е</w:t>
      </w:r>
      <w:r w:rsidR="00AE4FAE" w:rsidRPr="008813C9">
        <w:rPr>
          <w:rFonts w:cs="Times New Roman"/>
          <w:szCs w:val="28"/>
        </w:rPr>
        <w:t xml:space="preserve"> газа в ЕСГ. В этом случае, </w:t>
      </w:r>
      <w:r w:rsidR="00AE4FAE" w:rsidRPr="00767129">
        <w:rPr>
          <w:rFonts w:cs="Times New Roman"/>
          <w:szCs w:val="28"/>
        </w:rPr>
        <w:t xml:space="preserve">при </w:t>
      </w:r>
      <w:r w:rsidR="00AE4FAE">
        <w:rPr>
          <w:rFonts w:cs="Times New Roman"/>
          <w:szCs w:val="28"/>
        </w:rPr>
        <w:t>использовании</w:t>
      </w:r>
      <w:r w:rsidR="00AE4FAE" w:rsidRPr="00767129">
        <w:rPr>
          <w:rFonts w:cs="Times New Roman"/>
          <w:szCs w:val="28"/>
        </w:rPr>
        <w:t xml:space="preserve"> </w:t>
      </w:r>
      <w:r w:rsidR="003A438E" w:rsidRPr="003A438E">
        <w:rPr>
          <w:rFonts w:cs="Times New Roman"/>
          <w:color w:val="0000FF"/>
          <w:szCs w:val="28"/>
        </w:rPr>
        <w:t>механизмов стимулирования</w:t>
      </w:r>
      <w:r w:rsidR="00AE4FAE" w:rsidRPr="00767129">
        <w:rPr>
          <w:rFonts w:cs="Times New Roman"/>
          <w:szCs w:val="28"/>
        </w:rPr>
        <w:t xml:space="preserve">, недропользователи получают </w:t>
      </w:r>
      <w:r w:rsidR="00AE4FAE">
        <w:rPr>
          <w:rFonts w:cs="Times New Roman"/>
          <w:szCs w:val="28"/>
        </w:rPr>
        <w:t xml:space="preserve">требуемую </w:t>
      </w:r>
      <w:r w:rsidR="00AE4FAE" w:rsidRPr="00767129">
        <w:rPr>
          <w:rFonts w:cs="Times New Roman"/>
          <w:szCs w:val="28"/>
        </w:rPr>
        <w:t>доходность проект</w:t>
      </w:r>
      <w:r w:rsidR="00AE4FAE">
        <w:rPr>
          <w:rFonts w:cs="Times New Roman"/>
          <w:szCs w:val="28"/>
        </w:rPr>
        <w:t>ов</w:t>
      </w:r>
      <w:r w:rsidR="00AE4FAE" w:rsidRPr="00767129">
        <w:rPr>
          <w:rFonts w:cs="Times New Roman"/>
          <w:szCs w:val="28"/>
        </w:rPr>
        <w:t>, а государство дополнительную добычу газа в регионе</w:t>
      </w:r>
      <w:r w:rsidR="00280EAB">
        <w:rPr>
          <w:rFonts w:cs="Times New Roman"/>
          <w:szCs w:val="28"/>
        </w:rPr>
        <w:t xml:space="preserve">, </w:t>
      </w:r>
      <w:r w:rsidR="00AE4FAE" w:rsidRPr="00767129">
        <w:rPr>
          <w:rFonts w:cs="Times New Roman"/>
          <w:szCs w:val="28"/>
        </w:rPr>
        <w:t>уже</w:t>
      </w:r>
      <w:r w:rsidR="00AE4FAE">
        <w:rPr>
          <w:rFonts w:cs="Times New Roman"/>
          <w:szCs w:val="28"/>
        </w:rPr>
        <w:t xml:space="preserve"> </w:t>
      </w:r>
      <w:r w:rsidR="00BF04A9">
        <w:rPr>
          <w:rFonts w:cs="Times New Roman"/>
          <w:szCs w:val="28"/>
        </w:rPr>
        <w:t>имеющем</w:t>
      </w:r>
      <w:r w:rsidR="00AE4FAE">
        <w:rPr>
          <w:rFonts w:cs="Times New Roman"/>
          <w:szCs w:val="28"/>
        </w:rPr>
        <w:t xml:space="preserve"> производственн</w:t>
      </w:r>
      <w:r w:rsidR="00280EAB">
        <w:rPr>
          <w:rFonts w:cs="Times New Roman"/>
          <w:szCs w:val="28"/>
        </w:rPr>
        <w:t>ую</w:t>
      </w:r>
      <w:r w:rsidR="00AE4FAE">
        <w:rPr>
          <w:rFonts w:cs="Times New Roman"/>
          <w:szCs w:val="28"/>
        </w:rPr>
        <w:t xml:space="preserve"> и социальн</w:t>
      </w:r>
      <w:r w:rsidR="00280EAB">
        <w:rPr>
          <w:rFonts w:cs="Times New Roman"/>
          <w:szCs w:val="28"/>
        </w:rPr>
        <w:t>ую</w:t>
      </w:r>
      <w:r w:rsidR="00AE4FAE" w:rsidRPr="00767129">
        <w:rPr>
          <w:rFonts w:cs="Times New Roman"/>
          <w:szCs w:val="28"/>
        </w:rPr>
        <w:t xml:space="preserve"> инфраструктур</w:t>
      </w:r>
      <w:r w:rsidR="00280EAB">
        <w:rPr>
          <w:rFonts w:cs="Times New Roman"/>
          <w:szCs w:val="28"/>
        </w:rPr>
        <w:t>у</w:t>
      </w:r>
      <w:r w:rsidR="00AE4FAE" w:rsidRPr="00767129">
        <w:rPr>
          <w:rFonts w:cs="Times New Roman"/>
          <w:szCs w:val="28"/>
        </w:rPr>
        <w:t xml:space="preserve">, но при этом </w:t>
      </w:r>
      <w:r w:rsidR="00EF7ACF">
        <w:rPr>
          <w:rFonts w:cs="Times New Roman"/>
          <w:szCs w:val="28"/>
        </w:rPr>
        <w:t xml:space="preserve">с </w:t>
      </w:r>
      <w:r w:rsidR="006D1270">
        <w:rPr>
          <w:rFonts w:cs="Times New Roman"/>
          <w:szCs w:val="28"/>
        </w:rPr>
        <w:t>сокращ</w:t>
      </w:r>
      <w:r w:rsidR="00EF7ACF">
        <w:rPr>
          <w:rFonts w:cs="Times New Roman"/>
          <w:szCs w:val="28"/>
        </w:rPr>
        <w:t>ающейся</w:t>
      </w:r>
      <w:r w:rsidR="00280EAB">
        <w:rPr>
          <w:rFonts w:cs="Times New Roman"/>
          <w:szCs w:val="28"/>
        </w:rPr>
        <w:t xml:space="preserve"> </w:t>
      </w:r>
      <w:r w:rsidR="00AE4FAE" w:rsidRPr="00767129">
        <w:rPr>
          <w:rFonts w:cs="Times New Roman"/>
          <w:szCs w:val="28"/>
        </w:rPr>
        <w:t>добыч</w:t>
      </w:r>
      <w:r w:rsidR="00EF7ACF">
        <w:rPr>
          <w:rFonts w:cs="Times New Roman"/>
          <w:szCs w:val="28"/>
        </w:rPr>
        <w:t>ей</w:t>
      </w:r>
      <w:r w:rsidR="00AE4FAE" w:rsidRPr="00767129">
        <w:rPr>
          <w:rFonts w:cs="Times New Roman"/>
          <w:szCs w:val="28"/>
        </w:rPr>
        <w:t xml:space="preserve"> газа. </w:t>
      </w:r>
    </w:p>
    <w:p w14:paraId="32AF18C0" w14:textId="3C180A2B" w:rsidR="00AE4FAE" w:rsidRPr="00596096" w:rsidRDefault="00AE4FAE" w:rsidP="00AE4FAE">
      <w:pPr>
        <w:spacing w:after="0"/>
        <w:rPr>
          <w:rFonts w:cs="Times New Roman"/>
          <w:szCs w:val="28"/>
        </w:rPr>
      </w:pPr>
      <w:r w:rsidRPr="00767129">
        <w:rPr>
          <w:rFonts w:cs="Times New Roman"/>
          <w:szCs w:val="28"/>
        </w:rPr>
        <w:t>Стоит отметить, что при реализации СПГ-проект</w:t>
      </w:r>
      <w:r>
        <w:rPr>
          <w:rFonts w:cs="Times New Roman"/>
          <w:szCs w:val="28"/>
        </w:rPr>
        <w:t>ов</w:t>
      </w:r>
      <w:r w:rsidRPr="00767129">
        <w:rPr>
          <w:rFonts w:cs="Times New Roman"/>
          <w:szCs w:val="28"/>
        </w:rPr>
        <w:t xml:space="preserve">, даже в случае отмены НДПИ на весь срок </w:t>
      </w:r>
      <w:r w:rsidR="005D080A">
        <w:rPr>
          <w:rFonts w:cs="Times New Roman"/>
          <w:szCs w:val="28"/>
        </w:rPr>
        <w:t>их р</w:t>
      </w:r>
      <w:r w:rsidRPr="00767129">
        <w:rPr>
          <w:rFonts w:cs="Times New Roman"/>
          <w:szCs w:val="28"/>
        </w:rPr>
        <w:t xml:space="preserve">еализации, в рассмотренных вариантах налоговые поступления как минимум не ниже, </w:t>
      </w:r>
      <w:r w:rsidRPr="00596096">
        <w:rPr>
          <w:rFonts w:cs="Times New Roman"/>
          <w:szCs w:val="28"/>
        </w:rPr>
        <w:t>чем при текущем налогообложении с учетом НДПИ трубопроводных проектов (рис</w:t>
      </w:r>
      <w:r w:rsidR="00CA5985" w:rsidRPr="00596096">
        <w:rPr>
          <w:rFonts w:cs="Times New Roman"/>
          <w:szCs w:val="28"/>
        </w:rPr>
        <w:t>.</w:t>
      </w:r>
      <w:r w:rsidRPr="00596096">
        <w:rPr>
          <w:rFonts w:cs="Times New Roman"/>
          <w:szCs w:val="28"/>
        </w:rPr>
        <w:t xml:space="preserve"> </w:t>
      </w:r>
      <w:r w:rsidR="00413FDD" w:rsidRPr="00596096">
        <w:rPr>
          <w:rFonts w:cs="Times New Roman"/>
          <w:szCs w:val="28"/>
        </w:rPr>
        <w:t>3</w:t>
      </w:r>
      <w:r w:rsidRPr="00596096">
        <w:rPr>
          <w:rFonts w:cs="Times New Roman"/>
          <w:szCs w:val="28"/>
        </w:rPr>
        <w:t>).</w:t>
      </w:r>
    </w:p>
    <w:p w14:paraId="2CA410E6" w14:textId="09C5D826" w:rsidR="007F450D" w:rsidRPr="00767129" w:rsidRDefault="00AE4E48" w:rsidP="00AE4E48">
      <w:pPr>
        <w:spacing w:after="0"/>
        <w:ind w:firstLine="0"/>
        <w:jc w:val="center"/>
        <w:rPr>
          <w:rFonts w:cs="Times New Roman"/>
          <w:szCs w:val="28"/>
        </w:rPr>
      </w:pPr>
      <w:r w:rsidRPr="00AE4E48">
        <w:rPr>
          <w:noProof/>
        </w:rPr>
        <w:drawing>
          <wp:inline distT="0" distB="0" distL="0" distR="0" wp14:anchorId="0869CF64" wp14:editId="37F33F08">
            <wp:extent cx="4585335" cy="2756535"/>
            <wp:effectExtent l="0" t="0" r="571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5335" cy="2756535"/>
                    </a:xfrm>
                    <a:prstGeom prst="rect">
                      <a:avLst/>
                    </a:prstGeom>
                    <a:noFill/>
                    <a:ln>
                      <a:noFill/>
                    </a:ln>
                  </pic:spPr>
                </pic:pic>
              </a:graphicData>
            </a:graphic>
          </wp:inline>
        </w:drawing>
      </w:r>
    </w:p>
    <w:p w14:paraId="1D9E1E15" w14:textId="447D64B3" w:rsidR="00AE4FAE" w:rsidRPr="00767129" w:rsidRDefault="00AE4FAE" w:rsidP="00AE4FAE">
      <w:pPr>
        <w:spacing w:before="240" w:after="240" w:line="264" w:lineRule="auto"/>
        <w:jc w:val="center"/>
        <w:rPr>
          <w:rFonts w:cs="Times New Roman"/>
          <w:szCs w:val="28"/>
        </w:rPr>
      </w:pPr>
      <w:r w:rsidRPr="00767129">
        <w:rPr>
          <w:rFonts w:cs="Times New Roman"/>
          <w:szCs w:val="28"/>
        </w:rPr>
        <w:t>Рис</w:t>
      </w:r>
      <w:r w:rsidR="00CA5985">
        <w:rPr>
          <w:rFonts w:cs="Times New Roman"/>
          <w:szCs w:val="28"/>
        </w:rPr>
        <w:t>.</w:t>
      </w:r>
      <w:r w:rsidRPr="00767129">
        <w:rPr>
          <w:rFonts w:cs="Times New Roman"/>
          <w:szCs w:val="28"/>
        </w:rPr>
        <w:t xml:space="preserve"> </w:t>
      </w:r>
      <w:r w:rsidR="00413FDD">
        <w:rPr>
          <w:rFonts w:cs="Times New Roman"/>
          <w:szCs w:val="28"/>
        </w:rPr>
        <w:t>2</w:t>
      </w:r>
      <w:r>
        <w:rPr>
          <w:rFonts w:cs="Times New Roman"/>
          <w:szCs w:val="28"/>
        </w:rPr>
        <w:t>.</w:t>
      </w:r>
      <w:r w:rsidRPr="00767129">
        <w:rPr>
          <w:rFonts w:cs="Times New Roman"/>
          <w:szCs w:val="28"/>
        </w:rPr>
        <w:t xml:space="preserve"> </w:t>
      </w:r>
      <w:r w:rsidR="00FE4F68">
        <w:rPr>
          <w:rFonts w:cs="Times New Roman"/>
          <w:szCs w:val="28"/>
        </w:rPr>
        <w:t xml:space="preserve">Потенциальные </w:t>
      </w:r>
      <w:r>
        <w:rPr>
          <w:rFonts w:cs="Times New Roman"/>
          <w:szCs w:val="28"/>
        </w:rPr>
        <w:t>налоговы</w:t>
      </w:r>
      <w:r w:rsidR="00FE4F68">
        <w:rPr>
          <w:rFonts w:cs="Times New Roman"/>
          <w:szCs w:val="28"/>
        </w:rPr>
        <w:t>е</w:t>
      </w:r>
      <w:r>
        <w:rPr>
          <w:rFonts w:cs="Times New Roman"/>
          <w:szCs w:val="28"/>
        </w:rPr>
        <w:t xml:space="preserve"> поступлени</w:t>
      </w:r>
      <w:r w:rsidR="00FE4F68">
        <w:rPr>
          <w:rFonts w:cs="Times New Roman"/>
          <w:szCs w:val="28"/>
        </w:rPr>
        <w:t>я</w:t>
      </w:r>
      <w:r w:rsidRPr="00767129">
        <w:rPr>
          <w:rFonts w:cs="Times New Roman"/>
          <w:szCs w:val="28"/>
        </w:rPr>
        <w:t xml:space="preserve"> </w:t>
      </w:r>
      <w:r w:rsidR="009375A1">
        <w:rPr>
          <w:rFonts w:cs="Times New Roman"/>
          <w:szCs w:val="28"/>
        </w:rPr>
        <w:t xml:space="preserve">в бюджеты РФ </w:t>
      </w:r>
      <w:r w:rsidRPr="00767129">
        <w:rPr>
          <w:rFonts w:cs="Times New Roman"/>
          <w:szCs w:val="28"/>
        </w:rPr>
        <w:t>без учета льгот, млрд руб.</w:t>
      </w:r>
    </w:p>
    <w:p w14:paraId="58B0A1EB" w14:textId="54E22786" w:rsidR="007F450D" w:rsidRDefault="00AE4E48" w:rsidP="00AE4E48">
      <w:pPr>
        <w:spacing w:after="0"/>
        <w:ind w:firstLine="0"/>
        <w:jc w:val="center"/>
        <w:rPr>
          <w:rFonts w:cs="Times New Roman"/>
          <w:strike/>
          <w:color w:val="0000FF"/>
          <w:szCs w:val="28"/>
        </w:rPr>
      </w:pPr>
      <w:r w:rsidRPr="00AE4E48">
        <w:rPr>
          <w:noProof/>
        </w:rPr>
        <w:lastRenderedPageBreak/>
        <w:drawing>
          <wp:inline distT="0" distB="0" distL="0" distR="0" wp14:anchorId="500D1399" wp14:editId="42FF3D5E">
            <wp:extent cx="4585335" cy="2756535"/>
            <wp:effectExtent l="0" t="0" r="5715"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5335" cy="2756535"/>
                    </a:xfrm>
                    <a:prstGeom prst="rect">
                      <a:avLst/>
                    </a:prstGeom>
                    <a:noFill/>
                    <a:ln>
                      <a:noFill/>
                    </a:ln>
                  </pic:spPr>
                </pic:pic>
              </a:graphicData>
            </a:graphic>
          </wp:inline>
        </w:drawing>
      </w:r>
    </w:p>
    <w:p w14:paraId="6D6999D5" w14:textId="781FF570" w:rsidR="000736B2" w:rsidRPr="00767129" w:rsidRDefault="000736B2" w:rsidP="000736B2">
      <w:pPr>
        <w:spacing w:before="240" w:after="240" w:line="264" w:lineRule="auto"/>
        <w:jc w:val="center"/>
        <w:rPr>
          <w:rFonts w:cs="Times New Roman"/>
          <w:szCs w:val="28"/>
        </w:rPr>
      </w:pPr>
      <w:r w:rsidRPr="00767129">
        <w:rPr>
          <w:rFonts w:cs="Times New Roman"/>
          <w:szCs w:val="28"/>
        </w:rPr>
        <w:t>Рис</w:t>
      </w:r>
      <w:r w:rsidR="00CA5985">
        <w:rPr>
          <w:rFonts w:cs="Times New Roman"/>
          <w:szCs w:val="28"/>
        </w:rPr>
        <w:t>.</w:t>
      </w:r>
      <w:r w:rsidRPr="00767129">
        <w:rPr>
          <w:rFonts w:cs="Times New Roman"/>
          <w:szCs w:val="28"/>
        </w:rPr>
        <w:t xml:space="preserve"> </w:t>
      </w:r>
      <w:r w:rsidR="00413FDD">
        <w:rPr>
          <w:rFonts w:cs="Times New Roman"/>
          <w:szCs w:val="28"/>
        </w:rPr>
        <w:t>3</w:t>
      </w:r>
      <w:r>
        <w:rPr>
          <w:rFonts w:cs="Times New Roman"/>
          <w:szCs w:val="28"/>
        </w:rPr>
        <w:t>.</w:t>
      </w:r>
      <w:r w:rsidRPr="00767129">
        <w:rPr>
          <w:rFonts w:cs="Times New Roman"/>
          <w:szCs w:val="28"/>
        </w:rPr>
        <w:t xml:space="preserve"> </w:t>
      </w:r>
      <w:r w:rsidR="007666CF">
        <w:rPr>
          <w:rFonts w:cs="Times New Roman"/>
          <w:szCs w:val="28"/>
        </w:rPr>
        <w:t>Н</w:t>
      </w:r>
      <w:r w:rsidRPr="00767129">
        <w:rPr>
          <w:rFonts w:cs="Times New Roman"/>
          <w:szCs w:val="28"/>
        </w:rPr>
        <w:t>алоговы</w:t>
      </w:r>
      <w:r w:rsidR="007666CF">
        <w:rPr>
          <w:rFonts w:cs="Times New Roman"/>
          <w:szCs w:val="28"/>
        </w:rPr>
        <w:t>е</w:t>
      </w:r>
      <w:r w:rsidRPr="00767129">
        <w:rPr>
          <w:rFonts w:cs="Times New Roman"/>
          <w:szCs w:val="28"/>
        </w:rPr>
        <w:t xml:space="preserve"> поступлени</w:t>
      </w:r>
      <w:r w:rsidR="007666CF">
        <w:rPr>
          <w:rFonts w:cs="Times New Roman"/>
          <w:szCs w:val="28"/>
        </w:rPr>
        <w:t>я</w:t>
      </w:r>
      <w:r w:rsidRPr="00767129">
        <w:rPr>
          <w:rFonts w:cs="Times New Roman"/>
          <w:szCs w:val="28"/>
        </w:rPr>
        <w:t xml:space="preserve"> в бюджет</w:t>
      </w:r>
      <w:r w:rsidR="00FE4F68">
        <w:rPr>
          <w:rFonts w:cs="Times New Roman"/>
          <w:szCs w:val="28"/>
        </w:rPr>
        <w:t>ы</w:t>
      </w:r>
      <w:r w:rsidRPr="00767129">
        <w:rPr>
          <w:rFonts w:cs="Times New Roman"/>
          <w:szCs w:val="28"/>
        </w:rPr>
        <w:t xml:space="preserve"> РФ с учетом </w:t>
      </w:r>
      <w:r w:rsidR="00596096" w:rsidRPr="00B7455D">
        <w:rPr>
          <w:rFonts w:cs="Times New Roman"/>
          <w:color w:val="0000FF"/>
          <w:szCs w:val="28"/>
        </w:rPr>
        <w:t>н</w:t>
      </w:r>
      <w:r w:rsidRPr="00B7455D">
        <w:rPr>
          <w:rFonts w:cs="Times New Roman"/>
          <w:color w:val="0000FF"/>
          <w:szCs w:val="28"/>
        </w:rPr>
        <w:t>алогов</w:t>
      </w:r>
      <w:r w:rsidR="00596096" w:rsidRPr="00B7455D">
        <w:rPr>
          <w:rFonts w:cs="Times New Roman"/>
          <w:color w:val="0000FF"/>
          <w:szCs w:val="28"/>
        </w:rPr>
        <w:t>ого стимулирования</w:t>
      </w:r>
      <w:r w:rsidRPr="00B7455D">
        <w:rPr>
          <w:rFonts w:cs="Times New Roman"/>
          <w:color w:val="0000FF"/>
          <w:szCs w:val="28"/>
        </w:rPr>
        <w:t xml:space="preserve"> </w:t>
      </w:r>
      <w:r w:rsidRPr="00767129">
        <w:rPr>
          <w:rFonts w:cs="Times New Roman"/>
          <w:szCs w:val="28"/>
        </w:rPr>
        <w:t>(</w:t>
      </w:r>
      <w:r w:rsidR="00FE4F68">
        <w:rPr>
          <w:rFonts w:cs="Times New Roman"/>
          <w:szCs w:val="28"/>
        </w:rPr>
        <w:t xml:space="preserve">ставка </w:t>
      </w:r>
      <w:r w:rsidRPr="00767129">
        <w:rPr>
          <w:rFonts w:cs="Times New Roman"/>
          <w:szCs w:val="28"/>
        </w:rPr>
        <w:t>НДПИ = 0), млрд руб.</w:t>
      </w:r>
    </w:p>
    <w:p w14:paraId="77A55B0A" w14:textId="1487413D" w:rsidR="00AE4FAE" w:rsidRPr="00767129" w:rsidRDefault="00EF7ACF" w:rsidP="00AE4FAE">
      <w:pPr>
        <w:spacing w:after="0"/>
        <w:rPr>
          <w:rFonts w:cs="Times New Roman"/>
          <w:szCs w:val="28"/>
        </w:rPr>
      </w:pPr>
      <w:r>
        <w:t>Н</w:t>
      </w:r>
      <w:r w:rsidR="005B4C03">
        <w:t>алоговое стимулирование производства ВТ-газа может сыграть важную стабилизирующую роль для газовой промышленности как России</w:t>
      </w:r>
      <w:r w:rsidR="00685338">
        <w:t xml:space="preserve"> в целом</w:t>
      </w:r>
      <w:r w:rsidR="005B4C03">
        <w:t xml:space="preserve">, так </w:t>
      </w:r>
      <w:r w:rsidR="00FE4F68">
        <w:t xml:space="preserve">и </w:t>
      </w:r>
      <w:r w:rsidR="00685338">
        <w:t xml:space="preserve">в рамках </w:t>
      </w:r>
      <w:r w:rsidR="005B4C03">
        <w:t>к</w:t>
      </w:r>
      <w:r w:rsidR="00D24F5B">
        <w:t>рупнейше</w:t>
      </w:r>
      <w:r w:rsidR="00FE4F68">
        <w:t>й территории</w:t>
      </w:r>
      <w:r w:rsidR="005B4C03">
        <w:t xml:space="preserve"> </w:t>
      </w:r>
      <w:r w:rsidR="00FE4F68" w:rsidRPr="00B7455D">
        <w:t>добычи</w:t>
      </w:r>
      <w:r w:rsidR="005B4C03" w:rsidRPr="00B7455D">
        <w:t xml:space="preserve"> </w:t>
      </w:r>
      <w:r w:rsidR="00685338" w:rsidRPr="00B7455D">
        <w:t xml:space="preserve">газа </w:t>
      </w:r>
      <w:r w:rsidR="00C22BB1" w:rsidRPr="00B7455D">
        <w:t>– Я</w:t>
      </w:r>
      <w:r w:rsidR="00D126C7" w:rsidRPr="00B7455D">
        <w:t>мало-</w:t>
      </w:r>
      <w:r w:rsidR="00C22BB1" w:rsidRPr="00B7455D">
        <w:t>Н</w:t>
      </w:r>
      <w:r w:rsidR="00D126C7" w:rsidRPr="00B7455D">
        <w:t xml:space="preserve">енецкого </w:t>
      </w:r>
      <w:r w:rsidR="00C22BB1" w:rsidRPr="00B7455D">
        <w:t>АО, включая</w:t>
      </w:r>
      <w:r w:rsidR="005B4C03" w:rsidRPr="00B7455D">
        <w:t xml:space="preserve"> </w:t>
      </w:r>
      <w:r w:rsidR="00AE4FAE" w:rsidRPr="00B7455D">
        <w:t>Надым-Пур-Тазовск</w:t>
      </w:r>
      <w:r w:rsidR="00C22BB1" w:rsidRPr="00B7455D">
        <w:t>ий</w:t>
      </w:r>
      <w:r w:rsidR="00AE4FAE" w:rsidRPr="00B7455D">
        <w:t xml:space="preserve"> р</w:t>
      </w:r>
      <w:r w:rsidR="00C22BB1" w:rsidRPr="00B7455D">
        <w:t>айон</w:t>
      </w:r>
      <w:r w:rsidR="00AE4FAE" w:rsidRPr="00B7455D">
        <w:rPr>
          <w:rFonts w:cs="Times New Roman"/>
          <w:szCs w:val="28"/>
        </w:rPr>
        <w:t xml:space="preserve"> (НПТР)</w:t>
      </w:r>
      <w:r w:rsidR="005B4C03" w:rsidRPr="00B7455D">
        <w:rPr>
          <w:rFonts w:cs="Times New Roman"/>
          <w:szCs w:val="28"/>
        </w:rPr>
        <w:t>.</w:t>
      </w:r>
      <w:r w:rsidR="00AE4FAE" w:rsidRPr="00B7455D">
        <w:rPr>
          <w:rFonts w:cs="Times New Roman"/>
          <w:szCs w:val="28"/>
        </w:rPr>
        <w:t xml:space="preserve"> </w:t>
      </w:r>
      <w:r w:rsidR="005B4C03">
        <w:rPr>
          <w:rFonts w:cs="Times New Roman"/>
          <w:szCs w:val="28"/>
        </w:rPr>
        <w:t>НПТР</w:t>
      </w:r>
      <w:r w:rsidR="00AE4FAE" w:rsidRPr="00767129">
        <w:rPr>
          <w:rFonts w:cs="Times New Roman"/>
          <w:szCs w:val="28"/>
        </w:rPr>
        <w:t xml:space="preserve"> в целом име</w:t>
      </w:r>
      <w:r w:rsidR="00C22BB1">
        <w:rPr>
          <w:rFonts w:cs="Times New Roman"/>
          <w:szCs w:val="28"/>
        </w:rPr>
        <w:t>е</w:t>
      </w:r>
      <w:r w:rsidR="00AE4FAE" w:rsidRPr="00767129">
        <w:rPr>
          <w:rFonts w:cs="Times New Roman"/>
          <w:szCs w:val="28"/>
        </w:rPr>
        <w:t xml:space="preserve">т развитую </w:t>
      </w:r>
      <w:r w:rsidR="00AE4FAE">
        <w:rPr>
          <w:rFonts w:cs="Times New Roman"/>
          <w:szCs w:val="28"/>
        </w:rPr>
        <w:t>производственно-транспортную</w:t>
      </w:r>
      <w:r w:rsidR="00AE4FAE" w:rsidRPr="00767129">
        <w:rPr>
          <w:rFonts w:cs="Times New Roman"/>
          <w:szCs w:val="28"/>
        </w:rPr>
        <w:t xml:space="preserve"> инфраструктуру. Но добыча из традиционных пластов уже прошла свой пик</w:t>
      </w:r>
      <w:r>
        <w:rPr>
          <w:rFonts w:cs="Times New Roman"/>
          <w:szCs w:val="28"/>
        </w:rPr>
        <w:t>,</w:t>
      </w:r>
      <w:r w:rsidR="00AE4FAE" w:rsidRPr="00767129">
        <w:rPr>
          <w:rFonts w:cs="Times New Roman"/>
          <w:szCs w:val="28"/>
        </w:rPr>
        <w:t xml:space="preserve"> и </w:t>
      </w:r>
      <w:r w:rsidR="00AE4FAE">
        <w:rPr>
          <w:rFonts w:cs="Times New Roman"/>
          <w:szCs w:val="28"/>
        </w:rPr>
        <w:t xml:space="preserve">их </w:t>
      </w:r>
      <w:r w:rsidR="00AE4FAE" w:rsidRPr="00767129">
        <w:rPr>
          <w:rFonts w:cs="Times New Roman"/>
          <w:szCs w:val="28"/>
        </w:rPr>
        <w:t xml:space="preserve">запасы постепенно истощаются. </w:t>
      </w:r>
      <w:r w:rsidR="00AE4FAE">
        <w:rPr>
          <w:rFonts w:cs="Times New Roman"/>
          <w:szCs w:val="28"/>
        </w:rPr>
        <w:t>Поэтому возникает дилемма: в</w:t>
      </w:r>
      <w:r w:rsidR="00AE4FAE" w:rsidRPr="00767129">
        <w:rPr>
          <w:rFonts w:cs="Times New Roman"/>
          <w:szCs w:val="28"/>
        </w:rPr>
        <w:t xml:space="preserve"> ближайшем будущем </w:t>
      </w:r>
      <w:r w:rsidR="00AE4FAE">
        <w:rPr>
          <w:rFonts w:cs="Times New Roman"/>
          <w:szCs w:val="28"/>
        </w:rPr>
        <w:t>все активнее вовлекать в хозяйственный оборот</w:t>
      </w:r>
      <w:r w:rsidR="00AE4FAE" w:rsidRPr="00767129">
        <w:rPr>
          <w:rFonts w:cs="Times New Roman"/>
          <w:szCs w:val="28"/>
        </w:rPr>
        <w:t xml:space="preserve"> ТРИЗ или консервировать </w:t>
      </w:r>
      <w:r w:rsidR="00AE4FAE">
        <w:rPr>
          <w:rFonts w:cs="Times New Roman"/>
          <w:szCs w:val="28"/>
        </w:rPr>
        <w:t xml:space="preserve">имеющуюся </w:t>
      </w:r>
      <w:r w:rsidR="00AE4FAE" w:rsidRPr="00767129">
        <w:rPr>
          <w:rFonts w:cs="Times New Roman"/>
          <w:szCs w:val="28"/>
        </w:rPr>
        <w:t>инфраструктуру действующих месторождений</w:t>
      </w:r>
      <w:r w:rsidR="00AE4FAE">
        <w:rPr>
          <w:rFonts w:cs="Times New Roman"/>
          <w:szCs w:val="28"/>
        </w:rPr>
        <w:t xml:space="preserve"> (что в </w:t>
      </w:r>
      <w:r w:rsidR="005B4C03">
        <w:rPr>
          <w:rFonts w:cs="Times New Roman"/>
          <w:szCs w:val="28"/>
        </w:rPr>
        <w:t>ряде</w:t>
      </w:r>
      <w:r w:rsidR="00AE4FAE">
        <w:rPr>
          <w:rFonts w:cs="Times New Roman"/>
          <w:szCs w:val="28"/>
        </w:rPr>
        <w:t xml:space="preserve"> случа</w:t>
      </w:r>
      <w:r w:rsidR="005B4C03">
        <w:rPr>
          <w:rFonts w:cs="Times New Roman"/>
          <w:szCs w:val="28"/>
        </w:rPr>
        <w:t>ев</w:t>
      </w:r>
      <w:r w:rsidR="00AE4FAE">
        <w:rPr>
          <w:rFonts w:cs="Times New Roman"/>
          <w:szCs w:val="28"/>
        </w:rPr>
        <w:t xml:space="preserve"> будет фактически означать ее ликвидацию)</w:t>
      </w:r>
      <w:r w:rsidR="00AE4FAE" w:rsidRPr="00767129">
        <w:rPr>
          <w:rFonts w:cs="Times New Roman"/>
          <w:szCs w:val="28"/>
        </w:rPr>
        <w:t xml:space="preserve">. </w:t>
      </w:r>
      <w:r w:rsidR="00AE4FAE">
        <w:rPr>
          <w:rFonts w:cs="Times New Roman"/>
          <w:szCs w:val="28"/>
        </w:rPr>
        <w:t>Неблагоприятный сценарий</w:t>
      </w:r>
      <w:r w:rsidR="00AE4FAE" w:rsidRPr="00767129">
        <w:rPr>
          <w:rFonts w:cs="Times New Roman"/>
          <w:szCs w:val="28"/>
        </w:rPr>
        <w:t xml:space="preserve"> </w:t>
      </w:r>
      <w:r w:rsidR="00C22BB1">
        <w:rPr>
          <w:rFonts w:cs="Times New Roman"/>
          <w:szCs w:val="28"/>
        </w:rPr>
        <w:t xml:space="preserve">развития событий </w:t>
      </w:r>
      <w:r w:rsidR="00AE4FAE" w:rsidRPr="00767129">
        <w:rPr>
          <w:rFonts w:cs="Times New Roman"/>
          <w:szCs w:val="28"/>
        </w:rPr>
        <w:t xml:space="preserve">может привести к </w:t>
      </w:r>
      <w:r w:rsidR="00AE4FAE">
        <w:rPr>
          <w:rFonts w:cs="Times New Roman"/>
          <w:szCs w:val="28"/>
        </w:rPr>
        <w:t>целому ряду</w:t>
      </w:r>
      <w:r w:rsidR="00AE4FAE" w:rsidRPr="00767129">
        <w:rPr>
          <w:rFonts w:cs="Times New Roman"/>
          <w:szCs w:val="28"/>
        </w:rPr>
        <w:t xml:space="preserve"> </w:t>
      </w:r>
      <w:r w:rsidR="00AE4FAE">
        <w:rPr>
          <w:rFonts w:cs="Times New Roman"/>
          <w:szCs w:val="28"/>
        </w:rPr>
        <w:t xml:space="preserve">негативных </w:t>
      </w:r>
      <w:r w:rsidR="00AE4FAE" w:rsidRPr="00767129">
        <w:rPr>
          <w:rFonts w:cs="Times New Roman"/>
          <w:szCs w:val="28"/>
        </w:rPr>
        <w:t>последстви</w:t>
      </w:r>
      <w:r w:rsidR="00AE4FAE">
        <w:rPr>
          <w:rFonts w:cs="Times New Roman"/>
          <w:szCs w:val="28"/>
        </w:rPr>
        <w:t>й</w:t>
      </w:r>
      <w:r w:rsidR="00AE4FAE" w:rsidRPr="00767129">
        <w:rPr>
          <w:rFonts w:cs="Times New Roman"/>
          <w:szCs w:val="28"/>
        </w:rPr>
        <w:t>:</w:t>
      </w:r>
    </w:p>
    <w:p w14:paraId="1DA27836" w14:textId="0316F5C7" w:rsidR="00AE4FAE" w:rsidRPr="00767129" w:rsidRDefault="00AE4FAE" w:rsidP="00AE4FAE">
      <w:pPr>
        <w:pStyle w:val="a3"/>
      </w:pPr>
      <w:r>
        <w:t>– снижен</w:t>
      </w:r>
      <w:r w:rsidRPr="00767129">
        <w:t>ие добычи газа и</w:t>
      </w:r>
      <w:r>
        <w:t>,</w:t>
      </w:r>
      <w:r w:rsidRPr="00767129">
        <w:t xml:space="preserve"> как следствие, </w:t>
      </w:r>
      <w:r w:rsidR="005B4C03">
        <w:t>уровня</w:t>
      </w:r>
      <w:r>
        <w:t xml:space="preserve"> социально-экономического развития</w:t>
      </w:r>
      <w:r w:rsidRPr="00767129">
        <w:t xml:space="preserve"> ЯНАО;</w:t>
      </w:r>
    </w:p>
    <w:p w14:paraId="7CEA608B" w14:textId="77777777" w:rsidR="00AE4FAE" w:rsidRPr="00767129" w:rsidRDefault="00AE4FAE" w:rsidP="00AE4FAE">
      <w:pPr>
        <w:pStyle w:val="a3"/>
      </w:pPr>
      <w:r>
        <w:t>– с</w:t>
      </w:r>
      <w:r w:rsidRPr="00767129">
        <w:t>окращени</w:t>
      </w:r>
      <w:r>
        <w:t>е</w:t>
      </w:r>
      <w:r w:rsidRPr="00767129">
        <w:t xml:space="preserve"> рабочих мест и потеря квалифицированных кадров, </w:t>
      </w:r>
      <w:r>
        <w:t xml:space="preserve">что </w:t>
      </w:r>
      <w:r w:rsidRPr="00767129">
        <w:t xml:space="preserve">особенно </w:t>
      </w:r>
      <w:r>
        <w:t>ощутимо для</w:t>
      </w:r>
      <w:r w:rsidRPr="00767129">
        <w:t xml:space="preserve"> небольших город</w:t>
      </w:r>
      <w:r>
        <w:t>ов</w:t>
      </w:r>
      <w:r w:rsidRPr="00767129">
        <w:t xml:space="preserve">, которые </w:t>
      </w:r>
      <w:r>
        <w:t>часто ориентированы</w:t>
      </w:r>
      <w:r w:rsidRPr="00767129">
        <w:t xml:space="preserve"> на одно предприятие;</w:t>
      </w:r>
    </w:p>
    <w:p w14:paraId="4686A5CA" w14:textId="2D656FA6" w:rsidR="00AE4FAE" w:rsidRPr="00767129" w:rsidRDefault="00AE4FAE" w:rsidP="00AE4FAE">
      <w:pPr>
        <w:pStyle w:val="a3"/>
      </w:pPr>
      <w:r>
        <w:t>– у</w:t>
      </w:r>
      <w:r w:rsidRPr="00767129">
        <w:t>сложне</w:t>
      </w:r>
      <w:r>
        <w:t>ни</w:t>
      </w:r>
      <w:r w:rsidRPr="00767129">
        <w:t xml:space="preserve">е и </w:t>
      </w:r>
      <w:r>
        <w:t>у</w:t>
      </w:r>
      <w:r w:rsidRPr="00767129">
        <w:t>дорож</w:t>
      </w:r>
      <w:r>
        <w:t>ани</w:t>
      </w:r>
      <w:r w:rsidRPr="00767129">
        <w:t xml:space="preserve">е </w:t>
      </w:r>
      <w:r>
        <w:t xml:space="preserve">процессов </w:t>
      </w:r>
      <w:r w:rsidRPr="00767129">
        <w:t>восстанов</w:t>
      </w:r>
      <w:r>
        <w:t xml:space="preserve">ления </w:t>
      </w:r>
      <w:r w:rsidRPr="00767129">
        <w:t>инфраструктур</w:t>
      </w:r>
      <w:r>
        <w:t>ы</w:t>
      </w:r>
      <w:r w:rsidRPr="00767129">
        <w:t xml:space="preserve"> для разработки запасов ТРИЗ на крупных месторождения</w:t>
      </w:r>
      <w:r>
        <w:t xml:space="preserve">х (в случае ее </w:t>
      </w:r>
      <w:r w:rsidRPr="00767129">
        <w:t>консерв</w:t>
      </w:r>
      <w:r>
        <w:t>ации)</w:t>
      </w:r>
      <w:r w:rsidRPr="00767129">
        <w:t>;</w:t>
      </w:r>
    </w:p>
    <w:p w14:paraId="36930270" w14:textId="261D7381" w:rsidR="00AE4FAE" w:rsidRPr="00B7455D" w:rsidRDefault="00AE4FAE" w:rsidP="00AE4FAE">
      <w:pPr>
        <w:pStyle w:val="a3"/>
        <w:rPr>
          <w:color w:val="0000FF"/>
        </w:rPr>
      </w:pPr>
      <w:r>
        <w:t>– отсутствие</w:t>
      </w:r>
      <w:r w:rsidRPr="00767129">
        <w:t xml:space="preserve"> возможност</w:t>
      </w:r>
      <w:r>
        <w:t>ей</w:t>
      </w:r>
      <w:r w:rsidRPr="00767129">
        <w:t xml:space="preserve"> присоедин</w:t>
      </w:r>
      <w:r>
        <w:t>ения</w:t>
      </w:r>
      <w:r w:rsidRPr="00767129">
        <w:t xml:space="preserve"> </w:t>
      </w:r>
      <w:r>
        <w:t xml:space="preserve">малых и средних </w:t>
      </w:r>
      <w:r w:rsidRPr="00767129">
        <w:t>месторождени</w:t>
      </w:r>
      <w:r>
        <w:t>й</w:t>
      </w:r>
      <w:r w:rsidRPr="00767129">
        <w:t xml:space="preserve"> к инфраструктуре крупных месторождений, что сделает их нерентабельными даже с учетом налоговых </w:t>
      </w:r>
      <w:r w:rsidR="00B7455D" w:rsidRPr="00B7455D">
        <w:rPr>
          <w:color w:val="0000FF"/>
        </w:rPr>
        <w:t>стимулов</w:t>
      </w:r>
      <w:r w:rsidRPr="00B7455D">
        <w:rPr>
          <w:color w:val="0000FF"/>
        </w:rPr>
        <w:t>.</w:t>
      </w:r>
    </w:p>
    <w:p w14:paraId="54C5B9A4" w14:textId="37774675" w:rsidR="00FE4F68" w:rsidRPr="00C22BB1" w:rsidRDefault="00FE4F68" w:rsidP="00AE4FAE">
      <w:pPr>
        <w:spacing w:after="0"/>
        <w:rPr>
          <w:rFonts w:cs="Times New Roman"/>
          <w:szCs w:val="28"/>
        </w:rPr>
      </w:pPr>
      <w:r w:rsidRPr="00C22BB1">
        <w:rPr>
          <w:rFonts w:cs="Times New Roman"/>
          <w:szCs w:val="28"/>
        </w:rPr>
        <w:t xml:space="preserve">Такое положение определяет необходимость расширения механизмов и инструментов индикативного планирования, которые </w:t>
      </w:r>
      <w:r w:rsidR="00685338">
        <w:rPr>
          <w:rFonts w:cs="Times New Roman"/>
          <w:szCs w:val="28"/>
        </w:rPr>
        <w:t>рассмотрены нами выше.</w:t>
      </w:r>
      <w:r w:rsidRPr="00C22BB1">
        <w:rPr>
          <w:rFonts w:cs="Times New Roman"/>
          <w:szCs w:val="28"/>
        </w:rPr>
        <w:t xml:space="preserve"> Представляется </w:t>
      </w:r>
      <w:r w:rsidR="00D32B66" w:rsidRPr="00C22BB1">
        <w:rPr>
          <w:rFonts w:cs="Times New Roman"/>
          <w:szCs w:val="28"/>
        </w:rPr>
        <w:t xml:space="preserve">целесообразной </w:t>
      </w:r>
      <w:r w:rsidRPr="00C22BB1">
        <w:rPr>
          <w:rFonts w:cs="Times New Roman"/>
          <w:szCs w:val="28"/>
        </w:rPr>
        <w:t xml:space="preserve">разработка специальной программы развития и поддержания добычи газа на территории НПТР с детальным учетом </w:t>
      </w:r>
      <w:r w:rsidR="00D32B66" w:rsidRPr="00C22BB1">
        <w:rPr>
          <w:rFonts w:cs="Times New Roman"/>
          <w:szCs w:val="28"/>
        </w:rPr>
        <w:t>социально-</w:t>
      </w:r>
      <w:r w:rsidR="00D32B66" w:rsidRPr="00C22BB1">
        <w:rPr>
          <w:rFonts w:cs="Times New Roman"/>
          <w:szCs w:val="28"/>
        </w:rPr>
        <w:lastRenderedPageBreak/>
        <w:t xml:space="preserve">экономических последствий </w:t>
      </w:r>
      <w:r w:rsidR="00685338">
        <w:rPr>
          <w:rFonts w:cs="Times New Roman"/>
          <w:szCs w:val="28"/>
        </w:rPr>
        <w:t xml:space="preserve">снижающейся </w:t>
      </w:r>
      <w:r w:rsidR="006D1270" w:rsidRPr="00C22BB1">
        <w:rPr>
          <w:rFonts w:cs="Times New Roman"/>
          <w:szCs w:val="28"/>
        </w:rPr>
        <w:t>добычи</w:t>
      </w:r>
      <w:r w:rsidR="006D1270">
        <w:rPr>
          <w:rFonts w:cs="Times New Roman"/>
          <w:szCs w:val="28"/>
        </w:rPr>
        <w:t xml:space="preserve"> газа</w:t>
      </w:r>
      <w:r w:rsidR="006D1270" w:rsidRPr="00C22BB1">
        <w:rPr>
          <w:rFonts w:cs="Times New Roman"/>
          <w:szCs w:val="28"/>
        </w:rPr>
        <w:t xml:space="preserve"> </w:t>
      </w:r>
      <w:r w:rsidR="00D32B66" w:rsidRPr="00C22BB1">
        <w:rPr>
          <w:rFonts w:cs="Times New Roman"/>
          <w:szCs w:val="28"/>
        </w:rPr>
        <w:t>для этой территории и ЯНАО в целом.</w:t>
      </w:r>
    </w:p>
    <w:p w14:paraId="40D1442D" w14:textId="019D4A3B" w:rsidR="00AE4FAE" w:rsidRPr="00767129" w:rsidRDefault="005B4C03" w:rsidP="00AE4FAE">
      <w:pPr>
        <w:spacing w:after="0"/>
        <w:rPr>
          <w:rFonts w:cs="Times New Roman"/>
          <w:szCs w:val="28"/>
        </w:rPr>
      </w:pPr>
      <w:r>
        <w:rPr>
          <w:rFonts w:cs="Times New Roman"/>
          <w:szCs w:val="28"/>
        </w:rPr>
        <w:t>В современных условиях д</w:t>
      </w:r>
      <w:r w:rsidR="00AE4FAE" w:rsidRPr="00767129">
        <w:rPr>
          <w:rFonts w:cs="Times New Roman"/>
          <w:szCs w:val="28"/>
        </w:rPr>
        <w:t>обыч</w:t>
      </w:r>
      <w:r>
        <w:rPr>
          <w:rFonts w:cs="Times New Roman"/>
          <w:szCs w:val="28"/>
        </w:rPr>
        <w:t>а</w:t>
      </w:r>
      <w:r w:rsidR="00AE4FAE" w:rsidRPr="00767129">
        <w:rPr>
          <w:rFonts w:cs="Times New Roman"/>
          <w:szCs w:val="28"/>
        </w:rPr>
        <w:t xml:space="preserve"> из ТРИЗ может быть рентабельна лишь в случае использования существующей инфраструктуры</w:t>
      </w:r>
      <w:r w:rsidR="00D126C7">
        <w:rPr>
          <w:rFonts w:cs="Times New Roman"/>
          <w:szCs w:val="28"/>
        </w:rPr>
        <w:t>,</w:t>
      </w:r>
      <w:r w:rsidR="00AE4FAE" w:rsidRPr="00767129">
        <w:rPr>
          <w:rFonts w:cs="Times New Roman"/>
          <w:szCs w:val="28"/>
        </w:rPr>
        <w:t xml:space="preserve"> применения </w:t>
      </w:r>
      <w:r w:rsidR="007D1DBB" w:rsidRPr="007D1DBB">
        <w:rPr>
          <w:rFonts w:cs="Times New Roman"/>
          <w:color w:val="0000FF"/>
          <w:szCs w:val="28"/>
        </w:rPr>
        <w:t xml:space="preserve">механизмов </w:t>
      </w:r>
      <w:r w:rsidR="00AE4FAE" w:rsidRPr="007D1DBB">
        <w:rPr>
          <w:rFonts w:cs="Times New Roman"/>
          <w:color w:val="0000FF"/>
          <w:szCs w:val="28"/>
        </w:rPr>
        <w:t>налогов</w:t>
      </w:r>
      <w:r w:rsidR="007D1DBB" w:rsidRPr="007D1DBB">
        <w:rPr>
          <w:rFonts w:cs="Times New Roman"/>
          <w:color w:val="0000FF"/>
          <w:szCs w:val="28"/>
        </w:rPr>
        <w:t>ого стимулирования</w:t>
      </w:r>
      <w:r w:rsidR="00685338">
        <w:rPr>
          <w:rFonts w:cs="Times New Roman"/>
          <w:szCs w:val="28"/>
        </w:rPr>
        <w:t xml:space="preserve"> и</w:t>
      </w:r>
      <w:r w:rsidR="00D126C7">
        <w:rPr>
          <w:rFonts w:cs="Times New Roman"/>
          <w:szCs w:val="28"/>
        </w:rPr>
        <w:t>ли</w:t>
      </w:r>
      <w:r w:rsidR="00685338">
        <w:rPr>
          <w:rFonts w:cs="Times New Roman"/>
          <w:szCs w:val="28"/>
        </w:rPr>
        <w:t xml:space="preserve"> расширения рамок проектов за счет </w:t>
      </w:r>
      <w:r w:rsidR="00D126C7">
        <w:rPr>
          <w:rFonts w:cs="Times New Roman"/>
          <w:szCs w:val="28"/>
        </w:rPr>
        <w:t xml:space="preserve">их </w:t>
      </w:r>
      <w:r w:rsidR="00685338">
        <w:rPr>
          <w:rFonts w:cs="Times New Roman"/>
          <w:szCs w:val="28"/>
        </w:rPr>
        <w:t xml:space="preserve">дополнения стадиями, связанными с развитием </w:t>
      </w:r>
      <w:r w:rsidR="00D126C7">
        <w:rPr>
          <w:rFonts w:cs="Times New Roman"/>
          <w:szCs w:val="28"/>
        </w:rPr>
        <w:t>глубокой переработки сырья</w:t>
      </w:r>
      <w:r w:rsidR="00685338">
        <w:rPr>
          <w:rFonts w:cs="Times New Roman"/>
          <w:szCs w:val="28"/>
        </w:rPr>
        <w:t>.</w:t>
      </w:r>
      <w:r w:rsidR="00AE4FAE">
        <w:rPr>
          <w:rFonts w:cs="Times New Roman"/>
          <w:szCs w:val="28"/>
        </w:rPr>
        <w:t xml:space="preserve"> </w:t>
      </w:r>
    </w:p>
    <w:p w14:paraId="373142BF" w14:textId="35E183E9" w:rsidR="00AE4FAE" w:rsidRPr="00767129" w:rsidRDefault="00AE4FAE" w:rsidP="00AE4FAE">
      <w:pPr>
        <w:spacing w:after="0"/>
        <w:rPr>
          <w:rFonts w:cs="Times New Roman"/>
          <w:szCs w:val="28"/>
        </w:rPr>
      </w:pPr>
      <w:r w:rsidRPr="00B7455D">
        <w:rPr>
          <w:rFonts w:cs="Times New Roman"/>
          <w:szCs w:val="28"/>
        </w:rPr>
        <w:t>В табл</w:t>
      </w:r>
      <w:r w:rsidR="00CA5985" w:rsidRPr="00B7455D">
        <w:rPr>
          <w:rFonts w:cs="Times New Roman"/>
          <w:szCs w:val="28"/>
        </w:rPr>
        <w:t>.</w:t>
      </w:r>
      <w:r w:rsidRPr="00B7455D">
        <w:rPr>
          <w:rFonts w:cs="Times New Roman"/>
          <w:szCs w:val="28"/>
        </w:rPr>
        <w:t xml:space="preserve"> </w:t>
      </w:r>
      <w:r w:rsidR="00413FDD" w:rsidRPr="00B7455D">
        <w:rPr>
          <w:rFonts w:cs="Times New Roman"/>
          <w:szCs w:val="28"/>
        </w:rPr>
        <w:t>2</w:t>
      </w:r>
      <w:r w:rsidRPr="00B7455D">
        <w:rPr>
          <w:rFonts w:cs="Times New Roman"/>
          <w:szCs w:val="28"/>
        </w:rPr>
        <w:t xml:space="preserve"> приведена </w:t>
      </w:r>
      <w:r w:rsidRPr="00767129">
        <w:rPr>
          <w:rFonts w:cs="Times New Roman"/>
          <w:szCs w:val="28"/>
        </w:rPr>
        <w:t>оценка налоговых поступлений государств</w:t>
      </w:r>
      <w:r>
        <w:rPr>
          <w:rFonts w:cs="Times New Roman"/>
          <w:szCs w:val="28"/>
        </w:rPr>
        <w:t>а</w:t>
      </w:r>
      <w:r w:rsidRPr="00767129">
        <w:rPr>
          <w:rFonts w:cs="Times New Roman"/>
          <w:szCs w:val="28"/>
        </w:rPr>
        <w:t xml:space="preserve"> в случае </w:t>
      </w:r>
      <w:r w:rsidR="007D1DBB" w:rsidRPr="007D1DBB">
        <w:rPr>
          <w:rFonts w:cs="Times New Roman"/>
          <w:color w:val="0000FF"/>
          <w:szCs w:val="28"/>
        </w:rPr>
        <w:t>налогового стимулирования</w:t>
      </w:r>
      <w:r w:rsidR="007D1DBB">
        <w:rPr>
          <w:rFonts w:cs="Times New Roman"/>
          <w:color w:val="0000FF"/>
          <w:szCs w:val="28"/>
        </w:rPr>
        <w:t xml:space="preserve"> добычи из</w:t>
      </w:r>
      <w:r w:rsidRPr="00767129">
        <w:rPr>
          <w:rFonts w:cs="Times New Roman"/>
          <w:szCs w:val="28"/>
        </w:rPr>
        <w:t xml:space="preserve"> ТРИЗ </w:t>
      </w:r>
      <w:r w:rsidRPr="0076749A">
        <w:rPr>
          <w:rFonts w:cs="Times New Roman"/>
          <w:szCs w:val="28"/>
        </w:rPr>
        <w:t>и</w:t>
      </w:r>
      <w:r w:rsidRPr="00767129">
        <w:rPr>
          <w:rFonts w:cs="Times New Roman"/>
          <w:szCs w:val="28"/>
        </w:rPr>
        <w:t xml:space="preserve"> при добыче аналогичного объема сеноманского газа при действующе</w:t>
      </w:r>
      <w:r>
        <w:rPr>
          <w:rFonts w:cs="Times New Roman"/>
          <w:szCs w:val="28"/>
        </w:rPr>
        <w:t>й системе</w:t>
      </w:r>
      <w:r w:rsidRPr="00767129">
        <w:rPr>
          <w:rFonts w:cs="Times New Roman"/>
          <w:szCs w:val="28"/>
        </w:rPr>
        <w:t xml:space="preserve"> налогообложени</w:t>
      </w:r>
      <w:r>
        <w:rPr>
          <w:rFonts w:cs="Times New Roman"/>
          <w:szCs w:val="28"/>
        </w:rPr>
        <w:t>я</w:t>
      </w:r>
      <w:r w:rsidRPr="00767129">
        <w:rPr>
          <w:rFonts w:cs="Times New Roman"/>
          <w:szCs w:val="28"/>
        </w:rPr>
        <w:t>.</w:t>
      </w:r>
    </w:p>
    <w:p w14:paraId="11F0B057" w14:textId="13507C35" w:rsidR="00AE4FAE" w:rsidRPr="00767129" w:rsidRDefault="00AE4FAE" w:rsidP="00AE4FAE">
      <w:pPr>
        <w:spacing w:after="0"/>
        <w:rPr>
          <w:rFonts w:cs="Times New Roman"/>
          <w:szCs w:val="28"/>
        </w:rPr>
      </w:pPr>
      <w:r w:rsidRPr="00767129">
        <w:rPr>
          <w:rFonts w:eastAsia="Arial Unicode MS" w:cs="Times New Roman"/>
          <w:szCs w:val="28"/>
        </w:rPr>
        <w:t>Табл</w:t>
      </w:r>
      <w:r w:rsidR="00CA5985">
        <w:rPr>
          <w:rFonts w:eastAsia="Arial Unicode MS" w:cs="Times New Roman"/>
          <w:szCs w:val="28"/>
        </w:rPr>
        <w:t xml:space="preserve">. </w:t>
      </w:r>
      <w:r w:rsidR="00413FDD">
        <w:rPr>
          <w:rFonts w:eastAsia="Arial Unicode MS" w:cs="Times New Roman"/>
          <w:szCs w:val="28"/>
        </w:rPr>
        <w:t>2</w:t>
      </w:r>
      <w:r w:rsidR="00CA5985">
        <w:rPr>
          <w:rFonts w:eastAsia="Arial Unicode MS" w:cs="Times New Roman"/>
          <w:szCs w:val="28"/>
        </w:rPr>
        <w:t>.</w:t>
      </w:r>
      <w:r w:rsidRPr="00767129">
        <w:rPr>
          <w:rFonts w:eastAsia="Arial Unicode MS" w:cs="Times New Roman"/>
          <w:szCs w:val="28"/>
        </w:rPr>
        <w:t xml:space="preserve"> Эффекты от </w:t>
      </w:r>
      <w:r w:rsidR="00B7455D" w:rsidRPr="00B7455D">
        <w:rPr>
          <w:rFonts w:eastAsia="Arial Unicode MS" w:cs="Times New Roman"/>
          <w:color w:val="0000FF"/>
          <w:szCs w:val="28"/>
        </w:rPr>
        <w:t>использова</w:t>
      </w:r>
      <w:r w:rsidRPr="00B7455D">
        <w:rPr>
          <w:rFonts w:eastAsia="Arial Unicode MS" w:cs="Times New Roman"/>
          <w:color w:val="0000FF"/>
          <w:szCs w:val="28"/>
        </w:rPr>
        <w:t xml:space="preserve">ния </w:t>
      </w:r>
      <w:r w:rsidR="00B7455D" w:rsidRPr="00B7455D">
        <w:rPr>
          <w:rFonts w:eastAsia="Arial Unicode MS" w:cs="Times New Roman"/>
          <w:color w:val="0000FF"/>
          <w:szCs w:val="28"/>
        </w:rPr>
        <w:t xml:space="preserve">механизмов </w:t>
      </w:r>
      <w:r w:rsidRPr="00B7455D">
        <w:rPr>
          <w:rFonts w:eastAsia="Arial Unicode MS" w:cs="Times New Roman"/>
          <w:color w:val="0000FF"/>
          <w:szCs w:val="28"/>
        </w:rPr>
        <w:t>налогов</w:t>
      </w:r>
      <w:r w:rsidR="00B7455D" w:rsidRPr="00B7455D">
        <w:rPr>
          <w:rFonts w:eastAsia="Arial Unicode MS" w:cs="Times New Roman"/>
          <w:color w:val="0000FF"/>
          <w:szCs w:val="28"/>
        </w:rPr>
        <w:t>ого стимулирования</w:t>
      </w:r>
      <w:r w:rsidRPr="00767129">
        <w:rPr>
          <w:rFonts w:eastAsia="Arial Unicode MS" w:cs="Times New Roman"/>
          <w:szCs w:val="28"/>
        </w:rPr>
        <w:t xml:space="preserve"> и вовлечения в разработку </w:t>
      </w:r>
      <w:r>
        <w:rPr>
          <w:rFonts w:eastAsia="Arial Unicode MS" w:cs="Times New Roman"/>
          <w:szCs w:val="28"/>
        </w:rPr>
        <w:t>ТРИЗ</w:t>
      </w:r>
      <w:r w:rsidRPr="00767129">
        <w:rPr>
          <w:rFonts w:eastAsia="Arial Unicode MS" w:cs="Times New Roman"/>
          <w:szCs w:val="28"/>
        </w:rPr>
        <w:t xml:space="preserve"> газа НПТР</w:t>
      </w:r>
    </w:p>
    <w:tbl>
      <w:tblPr>
        <w:tblW w:w="9488" w:type="dxa"/>
        <w:tblCellMar>
          <w:left w:w="0" w:type="dxa"/>
          <w:right w:w="0" w:type="dxa"/>
        </w:tblCellMar>
        <w:tblLook w:val="0600" w:firstRow="0" w:lastRow="0" w:firstColumn="0" w:lastColumn="0" w:noHBand="1" w:noVBand="1"/>
      </w:tblPr>
      <w:tblGrid>
        <w:gridCol w:w="2542"/>
        <w:gridCol w:w="1736"/>
        <w:gridCol w:w="1737"/>
        <w:gridCol w:w="1736"/>
        <w:gridCol w:w="1737"/>
      </w:tblGrid>
      <w:tr w:rsidR="00AE4FAE" w:rsidRPr="00767129" w14:paraId="619035AC" w14:textId="77777777" w:rsidTr="000808B1">
        <w:trPr>
          <w:trHeight w:val="628"/>
        </w:trPr>
        <w:tc>
          <w:tcPr>
            <w:tcW w:w="2542" w:type="dxa"/>
            <w:vMerge w:val="restart"/>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9A9BF10" w14:textId="77777777" w:rsidR="00AE4FAE" w:rsidRPr="00767129" w:rsidRDefault="00AE4FAE" w:rsidP="000808B1">
            <w:pPr>
              <w:pStyle w:val="a3"/>
              <w:ind w:firstLine="0"/>
            </w:pPr>
            <w:r>
              <w:t>Показатель</w:t>
            </w:r>
          </w:p>
        </w:tc>
        <w:tc>
          <w:tcPr>
            <w:tcW w:w="3473" w:type="dxa"/>
            <w:gridSpan w:val="2"/>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6013B143" w14:textId="3DD83358" w:rsidR="00AE4FAE" w:rsidRPr="00767129" w:rsidRDefault="00AE4FAE" w:rsidP="007666CF">
            <w:pPr>
              <w:spacing w:after="0"/>
              <w:ind w:hanging="10"/>
              <w:jc w:val="center"/>
              <w:textAlignment w:val="center"/>
              <w:rPr>
                <w:rFonts w:ascii="Arial" w:eastAsia="Times New Roman" w:hAnsi="Arial" w:cs="Arial"/>
                <w:sz w:val="24"/>
                <w:szCs w:val="36"/>
                <w:lang w:eastAsia="ru-RU"/>
              </w:rPr>
            </w:pPr>
            <w:r w:rsidRPr="00767129">
              <w:rPr>
                <w:rFonts w:eastAsia="Times New Roman" w:cs="Times New Roman"/>
                <w:bCs/>
                <w:iCs/>
                <w:kern w:val="24"/>
                <w:sz w:val="24"/>
                <w:szCs w:val="28"/>
                <w:lang w:eastAsia="ru-RU"/>
              </w:rPr>
              <w:t>Эффекты от предоставления налогов</w:t>
            </w:r>
            <w:r>
              <w:rPr>
                <w:rFonts w:eastAsia="Times New Roman" w:cs="Times New Roman"/>
                <w:bCs/>
                <w:iCs/>
                <w:kern w:val="24"/>
                <w:sz w:val="24"/>
                <w:szCs w:val="28"/>
                <w:lang w:eastAsia="ru-RU"/>
              </w:rPr>
              <w:t>ых</w:t>
            </w:r>
            <w:r w:rsidRPr="00767129">
              <w:rPr>
                <w:rFonts w:eastAsia="Times New Roman" w:cs="Times New Roman"/>
                <w:bCs/>
                <w:iCs/>
                <w:kern w:val="24"/>
                <w:sz w:val="24"/>
                <w:szCs w:val="28"/>
                <w:lang w:eastAsia="ru-RU"/>
              </w:rPr>
              <w:t xml:space="preserve"> льгот </w:t>
            </w:r>
            <w:r w:rsidR="007666CF">
              <w:rPr>
                <w:rFonts w:eastAsia="Times New Roman" w:cs="Times New Roman"/>
                <w:bCs/>
                <w:iCs/>
                <w:kern w:val="24"/>
                <w:sz w:val="24"/>
                <w:szCs w:val="28"/>
                <w:lang w:eastAsia="ru-RU"/>
              </w:rPr>
              <w:t>для</w:t>
            </w:r>
            <w:r w:rsidRPr="00767129">
              <w:rPr>
                <w:rFonts w:eastAsia="Times New Roman" w:cs="Times New Roman"/>
                <w:bCs/>
                <w:iCs/>
                <w:kern w:val="24"/>
                <w:sz w:val="24"/>
                <w:szCs w:val="28"/>
                <w:lang w:eastAsia="ru-RU"/>
              </w:rPr>
              <w:t xml:space="preserve"> </w:t>
            </w:r>
            <w:r>
              <w:rPr>
                <w:rFonts w:eastAsia="Times New Roman" w:cs="Times New Roman"/>
                <w:bCs/>
                <w:iCs/>
                <w:kern w:val="24"/>
                <w:sz w:val="24"/>
                <w:szCs w:val="28"/>
                <w:lang w:eastAsia="ru-RU"/>
              </w:rPr>
              <w:t>добычи</w:t>
            </w:r>
            <w:r w:rsidRPr="00767129">
              <w:rPr>
                <w:rFonts w:eastAsia="Times New Roman" w:cs="Times New Roman"/>
                <w:bCs/>
                <w:iCs/>
                <w:kern w:val="24"/>
                <w:sz w:val="24"/>
                <w:szCs w:val="28"/>
                <w:lang w:eastAsia="ru-RU"/>
              </w:rPr>
              <w:t xml:space="preserve"> </w:t>
            </w:r>
            <w:r>
              <w:rPr>
                <w:rFonts w:eastAsia="Times New Roman" w:cs="Times New Roman"/>
                <w:bCs/>
                <w:iCs/>
                <w:kern w:val="24"/>
                <w:sz w:val="24"/>
                <w:szCs w:val="28"/>
                <w:lang w:eastAsia="ru-RU"/>
              </w:rPr>
              <w:t>ТРИЗ</w:t>
            </w:r>
            <w:r w:rsidRPr="00767129">
              <w:rPr>
                <w:rFonts w:eastAsia="Times New Roman" w:cs="Times New Roman"/>
                <w:bCs/>
                <w:iCs/>
                <w:kern w:val="24"/>
                <w:sz w:val="24"/>
                <w:szCs w:val="28"/>
                <w:lang w:eastAsia="ru-RU"/>
              </w:rPr>
              <w:t xml:space="preserve"> газа</w:t>
            </w:r>
          </w:p>
        </w:tc>
        <w:tc>
          <w:tcPr>
            <w:tcW w:w="3473" w:type="dxa"/>
            <w:gridSpan w:val="2"/>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6E84391E" w14:textId="77777777" w:rsidR="00AE4FAE" w:rsidRPr="00767129" w:rsidRDefault="00AE4FAE" w:rsidP="000808B1">
            <w:pPr>
              <w:spacing w:after="0"/>
              <w:ind w:firstLine="0"/>
              <w:jc w:val="center"/>
              <w:textAlignment w:val="center"/>
              <w:rPr>
                <w:rFonts w:ascii="Arial" w:eastAsia="Times New Roman" w:hAnsi="Arial" w:cs="Arial"/>
                <w:sz w:val="24"/>
                <w:szCs w:val="36"/>
                <w:lang w:eastAsia="ru-RU"/>
              </w:rPr>
            </w:pPr>
            <w:r w:rsidRPr="00767129">
              <w:rPr>
                <w:rFonts w:eastAsia="Times New Roman" w:cs="Times New Roman"/>
                <w:bCs/>
                <w:iCs/>
                <w:kern w:val="24"/>
                <w:sz w:val="24"/>
                <w:szCs w:val="28"/>
                <w:lang w:eastAsia="ru-RU"/>
              </w:rPr>
              <w:t xml:space="preserve">Эффекты от добычи сеноманского газа </w:t>
            </w:r>
          </w:p>
        </w:tc>
      </w:tr>
      <w:tr w:rsidR="00AE4FAE" w:rsidRPr="00767129" w14:paraId="460BA26F" w14:textId="77777777" w:rsidTr="000808B1">
        <w:trPr>
          <w:trHeight w:val="2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67F866" w14:textId="77777777" w:rsidR="00AE4FAE" w:rsidRPr="00767129" w:rsidRDefault="00AE4FAE" w:rsidP="000808B1">
            <w:pPr>
              <w:spacing w:after="0"/>
              <w:rPr>
                <w:rFonts w:ascii="Arial" w:eastAsia="Times New Roman" w:hAnsi="Arial" w:cs="Arial"/>
                <w:sz w:val="36"/>
                <w:szCs w:val="36"/>
                <w:lang w:eastAsia="ru-RU"/>
              </w:rPr>
            </w:pP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3B156FE" w14:textId="0C748388" w:rsidR="00AE4FAE" w:rsidRPr="00767129" w:rsidRDefault="007666CF" w:rsidP="000808B1">
            <w:pPr>
              <w:spacing w:after="0"/>
              <w:ind w:firstLine="0"/>
              <w:jc w:val="center"/>
              <w:textAlignment w:val="center"/>
              <w:rPr>
                <w:rFonts w:eastAsia="Times New Roman" w:cs="Times New Roman"/>
                <w:sz w:val="24"/>
                <w:szCs w:val="24"/>
                <w:lang w:eastAsia="ru-RU"/>
              </w:rPr>
            </w:pPr>
            <w:r>
              <w:rPr>
                <w:rFonts w:eastAsia="Times New Roman" w:cs="Times New Roman"/>
                <w:bCs/>
                <w:iCs/>
                <w:kern w:val="24"/>
                <w:sz w:val="24"/>
                <w:szCs w:val="24"/>
                <w:lang w:eastAsia="ru-RU"/>
              </w:rPr>
              <w:t>Д</w:t>
            </w:r>
            <w:r w:rsidR="00AE4FAE" w:rsidRPr="00767129">
              <w:rPr>
                <w:rFonts w:eastAsia="Times New Roman" w:cs="Times New Roman"/>
                <w:bCs/>
                <w:iCs/>
                <w:kern w:val="24"/>
                <w:sz w:val="24"/>
                <w:szCs w:val="24"/>
                <w:lang w:eastAsia="ru-RU"/>
              </w:rPr>
              <w:t>о 2030</w:t>
            </w:r>
            <w:r w:rsidR="00AE4FAE">
              <w:rPr>
                <w:rFonts w:eastAsia="Times New Roman" w:cs="Times New Roman"/>
                <w:bCs/>
                <w:iCs/>
                <w:kern w:val="24"/>
                <w:sz w:val="24"/>
                <w:szCs w:val="24"/>
                <w:lang w:eastAsia="ru-RU"/>
              </w:rPr>
              <w:t xml:space="preserve"> г.</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5632484" w14:textId="77777777" w:rsidR="00AE4FAE" w:rsidRPr="00767129" w:rsidRDefault="00AE4FAE" w:rsidP="000808B1">
            <w:pPr>
              <w:spacing w:after="0"/>
              <w:ind w:firstLine="0"/>
              <w:jc w:val="center"/>
              <w:textAlignment w:val="center"/>
              <w:rPr>
                <w:rFonts w:eastAsia="Times New Roman" w:cs="Times New Roman"/>
                <w:sz w:val="24"/>
                <w:szCs w:val="24"/>
                <w:lang w:eastAsia="ru-RU"/>
              </w:rPr>
            </w:pPr>
            <w:r w:rsidRPr="00767129">
              <w:rPr>
                <w:rFonts w:eastAsia="Times New Roman" w:cs="Times New Roman"/>
                <w:bCs/>
                <w:iCs/>
                <w:kern w:val="24"/>
                <w:sz w:val="24"/>
                <w:szCs w:val="24"/>
                <w:lang w:eastAsia="ru-RU"/>
              </w:rPr>
              <w:t>2030–2050</w:t>
            </w:r>
            <w:r>
              <w:rPr>
                <w:rFonts w:eastAsia="Times New Roman" w:cs="Times New Roman"/>
                <w:bCs/>
                <w:iCs/>
                <w:kern w:val="24"/>
                <w:sz w:val="24"/>
                <w:szCs w:val="24"/>
                <w:lang w:eastAsia="ru-RU"/>
              </w:rPr>
              <w:t xml:space="preserve"> гг.</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77CB86A" w14:textId="3B71724F" w:rsidR="00AE4FAE" w:rsidRPr="00767129" w:rsidRDefault="007666CF" w:rsidP="000808B1">
            <w:pPr>
              <w:spacing w:after="0"/>
              <w:ind w:firstLine="0"/>
              <w:jc w:val="center"/>
              <w:textAlignment w:val="center"/>
              <w:rPr>
                <w:rFonts w:eastAsia="Times New Roman" w:cs="Times New Roman"/>
                <w:sz w:val="24"/>
                <w:szCs w:val="24"/>
                <w:lang w:eastAsia="ru-RU"/>
              </w:rPr>
            </w:pPr>
            <w:r>
              <w:rPr>
                <w:rFonts w:eastAsia="Times New Roman" w:cs="Times New Roman"/>
                <w:bCs/>
                <w:iCs/>
                <w:kern w:val="24"/>
                <w:sz w:val="24"/>
                <w:szCs w:val="24"/>
                <w:lang w:eastAsia="ru-RU"/>
              </w:rPr>
              <w:t>Д</w:t>
            </w:r>
            <w:r w:rsidR="00AE4FAE" w:rsidRPr="00767129">
              <w:rPr>
                <w:rFonts w:eastAsia="Times New Roman" w:cs="Times New Roman"/>
                <w:bCs/>
                <w:iCs/>
                <w:kern w:val="24"/>
                <w:sz w:val="24"/>
                <w:szCs w:val="24"/>
                <w:lang w:eastAsia="ru-RU"/>
              </w:rPr>
              <w:t>о 2030</w:t>
            </w:r>
            <w:r w:rsidR="00AE4FAE">
              <w:rPr>
                <w:rFonts w:eastAsia="Times New Roman" w:cs="Times New Roman"/>
                <w:bCs/>
                <w:iCs/>
                <w:kern w:val="24"/>
                <w:sz w:val="24"/>
                <w:szCs w:val="24"/>
                <w:lang w:eastAsia="ru-RU"/>
              </w:rPr>
              <w:t xml:space="preserve"> г.</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66BB99E4" w14:textId="77777777" w:rsidR="00AE4FAE" w:rsidRPr="00767129" w:rsidRDefault="00AE4FAE" w:rsidP="000808B1">
            <w:pPr>
              <w:spacing w:after="0"/>
              <w:ind w:firstLine="0"/>
              <w:jc w:val="center"/>
              <w:textAlignment w:val="center"/>
              <w:rPr>
                <w:rFonts w:eastAsia="Times New Roman" w:cs="Times New Roman"/>
                <w:sz w:val="24"/>
                <w:szCs w:val="24"/>
                <w:lang w:eastAsia="ru-RU"/>
              </w:rPr>
            </w:pPr>
            <w:r w:rsidRPr="00767129">
              <w:rPr>
                <w:rFonts w:eastAsia="Times New Roman" w:cs="Times New Roman"/>
                <w:bCs/>
                <w:iCs/>
                <w:kern w:val="24"/>
                <w:sz w:val="24"/>
                <w:szCs w:val="24"/>
                <w:lang w:eastAsia="ru-RU"/>
              </w:rPr>
              <w:t>2030–2050</w:t>
            </w:r>
            <w:r>
              <w:rPr>
                <w:rFonts w:eastAsia="Times New Roman" w:cs="Times New Roman"/>
                <w:bCs/>
                <w:iCs/>
                <w:kern w:val="24"/>
                <w:sz w:val="24"/>
                <w:szCs w:val="24"/>
                <w:lang w:eastAsia="ru-RU"/>
              </w:rPr>
              <w:t xml:space="preserve"> гг.</w:t>
            </w:r>
          </w:p>
        </w:tc>
      </w:tr>
      <w:tr w:rsidR="00AE4FAE" w:rsidRPr="00767129" w14:paraId="4A22CC04" w14:textId="77777777" w:rsidTr="000808B1">
        <w:trPr>
          <w:trHeight w:val="845"/>
        </w:trPr>
        <w:tc>
          <w:tcPr>
            <w:tcW w:w="254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476357A9" w14:textId="77777777" w:rsidR="00AE4FAE" w:rsidRPr="00767129" w:rsidRDefault="00AE4FAE" w:rsidP="000808B1">
            <w:pPr>
              <w:spacing w:after="0"/>
              <w:ind w:firstLine="0"/>
              <w:jc w:val="left"/>
              <w:textAlignment w:val="center"/>
              <w:rPr>
                <w:rFonts w:ascii="Arial" w:eastAsia="Times New Roman" w:hAnsi="Arial" w:cs="Arial"/>
                <w:sz w:val="24"/>
                <w:szCs w:val="36"/>
                <w:lang w:eastAsia="ru-RU"/>
              </w:rPr>
            </w:pPr>
            <w:r w:rsidRPr="00767129">
              <w:rPr>
                <w:rFonts w:eastAsia="Times New Roman" w:cs="Times New Roman"/>
                <w:kern w:val="24"/>
                <w:sz w:val="24"/>
                <w:szCs w:val="28"/>
                <w:lang w:eastAsia="ru-RU"/>
              </w:rPr>
              <w:t>Дополнительны</w:t>
            </w:r>
            <w:r>
              <w:rPr>
                <w:rFonts w:eastAsia="Times New Roman" w:cs="Times New Roman"/>
                <w:kern w:val="24"/>
                <w:sz w:val="24"/>
                <w:szCs w:val="28"/>
                <w:lang w:eastAsia="ru-RU"/>
              </w:rPr>
              <w:t>й</w:t>
            </w:r>
            <w:r w:rsidRPr="00767129">
              <w:rPr>
                <w:rFonts w:eastAsia="Times New Roman" w:cs="Times New Roman"/>
                <w:kern w:val="24"/>
                <w:sz w:val="24"/>
                <w:szCs w:val="28"/>
                <w:lang w:eastAsia="ru-RU"/>
              </w:rPr>
              <w:t xml:space="preserve"> объем добычи газа, млрд м</w:t>
            </w:r>
            <w:r w:rsidRPr="00767129">
              <w:rPr>
                <w:rFonts w:eastAsia="Times New Roman" w:cs="Times New Roman"/>
                <w:kern w:val="24"/>
                <w:sz w:val="24"/>
                <w:szCs w:val="28"/>
                <w:vertAlign w:val="superscript"/>
                <w:lang w:eastAsia="ru-RU"/>
              </w:rPr>
              <w:t>3</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4926D858"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rFonts w:eastAsia="Times New Roman" w:cs="Times New Roman"/>
                <w:kern w:val="24"/>
                <w:sz w:val="24"/>
                <w:szCs w:val="24"/>
                <w:lang w:eastAsia="ru-RU"/>
              </w:rPr>
              <w:t>40</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2467BA9"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rFonts w:eastAsia="Times New Roman" w:cs="Times New Roman"/>
                <w:kern w:val="24"/>
                <w:sz w:val="24"/>
                <w:szCs w:val="24"/>
                <w:lang w:eastAsia="ru-RU"/>
              </w:rPr>
              <w:t>637</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502FE7B"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rFonts w:eastAsia="Times New Roman" w:cs="Times New Roman"/>
                <w:kern w:val="24"/>
                <w:sz w:val="24"/>
                <w:szCs w:val="24"/>
                <w:lang w:eastAsia="ru-RU"/>
              </w:rPr>
              <w:t>40</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EE9605E"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rFonts w:eastAsia="Times New Roman" w:cs="Times New Roman"/>
                <w:kern w:val="24"/>
                <w:sz w:val="24"/>
                <w:szCs w:val="24"/>
                <w:lang w:eastAsia="ru-RU"/>
              </w:rPr>
              <w:t>637</w:t>
            </w:r>
          </w:p>
        </w:tc>
      </w:tr>
      <w:tr w:rsidR="00AE4FAE" w:rsidRPr="00767129" w14:paraId="615C1FD7" w14:textId="77777777" w:rsidTr="000808B1">
        <w:trPr>
          <w:trHeight w:val="429"/>
        </w:trPr>
        <w:tc>
          <w:tcPr>
            <w:tcW w:w="254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3F99570" w14:textId="77777777" w:rsidR="00AE4FAE" w:rsidRPr="00767129" w:rsidRDefault="00AE4FAE" w:rsidP="000808B1">
            <w:pPr>
              <w:spacing w:after="0"/>
              <w:ind w:firstLine="0"/>
              <w:jc w:val="left"/>
              <w:textAlignment w:val="center"/>
              <w:rPr>
                <w:rFonts w:ascii="Arial" w:eastAsia="Times New Roman" w:hAnsi="Arial" w:cs="Arial"/>
                <w:sz w:val="24"/>
                <w:szCs w:val="36"/>
                <w:lang w:eastAsia="ru-RU"/>
              </w:rPr>
            </w:pPr>
            <w:r w:rsidRPr="00767129">
              <w:rPr>
                <w:rFonts w:eastAsia="Times New Roman" w:cs="Times New Roman"/>
                <w:kern w:val="24"/>
                <w:sz w:val="24"/>
                <w:szCs w:val="28"/>
                <w:lang w:eastAsia="ru-RU"/>
              </w:rPr>
              <w:t>Объем добычи конденсата, млн т</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08E6B751"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rFonts w:eastAsia="Times New Roman" w:cs="Times New Roman"/>
                <w:kern w:val="24"/>
                <w:sz w:val="24"/>
                <w:szCs w:val="24"/>
                <w:lang w:eastAsia="ru-RU"/>
              </w:rPr>
              <w:t>12</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61358CC"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rFonts w:eastAsia="Times New Roman" w:cs="Times New Roman"/>
                <w:kern w:val="24"/>
                <w:sz w:val="24"/>
                <w:szCs w:val="24"/>
                <w:lang w:eastAsia="ru-RU"/>
              </w:rPr>
              <w:t>125</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7F4250B0"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rFonts w:eastAsia="Times New Roman" w:cs="Times New Roman"/>
                <w:sz w:val="24"/>
                <w:szCs w:val="24"/>
                <w:lang w:eastAsia="ru-RU"/>
              </w:rPr>
              <w:t>0</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E1E7430"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rFonts w:eastAsia="Times New Roman" w:cs="Times New Roman"/>
                <w:sz w:val="24"/>
                <w:szCs w:val="24"/>
                <w:lang w:eastAsia="ru-RU"/>
              </w:rPr>
              <w:t>0</w:t>
            </w:r>
          </w:p>
        </w:tc>
      </w:tr>
      <w:tr w:rsidR="00AE4FAE" w:rsidRPr="00767129" w14:paraId="2D6DB65D" w14:textId="77777777" w:rsidTr="000808B1">
        <w:trPr>
          <w:trHeight w:val="427"/>
        </w:trPr>
        <w:tc>
          <w:tcPr>
            <w:tcW w:w="254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tcPr>
          <w:p w14:paraId="263E631C" w14:textId="667833B2" w:rsidR="00AE4FAE" w:rsidRPr="00767129" w:rsidRDefault="00AE4FAE" w:rsidP="000808B1">
            <w:pPr>
              <w:spacing w:after="0"/>
              <w:ind w:firstLine="0"/>
              <w:jc w:val="left"/>
              <w:textAlignment w:val="center"/>
              <w:rPr>
                <w:rFonts w:eastAsia="Times New Roman" w:cs="Times New Roman"/>
                <w:kern w:val="24"/>
                <w:sz w:val="24"/>
                <w:szCs w:val="28"/>
                <w:lang w:eastAsia="ru-RU"/>
              </w:rPr>
            </w:pPr>
            <w:r w:rsidRPr="00767129">
              <w:rPr>
                <w:rFonts w:eastAsia="Times New Roman" w:cs="Times New Roman"/>
                <w:kern w:val="24"/>
                <w:sz w:val="24"/>
                <w:szCs w:val="28"/>
                <w:lang w:eastAsia="ru-RU"/>
              </w:rPr>
              <w:t>Налоговые поступления, млрд руб.</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14:paraId="426CE125" w14:textId="77777777" w:rsidR="00AE4FAE" w:rsidRPr="0019793C" w:rsidRDefault="00AE4FAE" w:rsidP="000808B1">
            <w:pPr>
              <w:spacing w:after="0"/>
              <w:ind w:hanging="10"/>
              <w:jc w:val="center"/>
              <w:textAlignment w:val="center"/>
              <w:rPr>
                <w:rFonts w:eastAsia="Times New Roman" w:cs="Times New Roman"/>
                <w:kern w:val="24"/>
                <w:sz w:val="24"/>
                <w:szCs w:val="24"/>
                <w:lang w:eastAsia="ru-RU"/>
              </w:rPr>
            </w:pPr>
            <w:r w:rsidRPr="0019793C">
              <w:rPr>
                <w:sz w:val="24"/>
                <w:szCs w:val="24"/>
              </w:rPr>
              <w:t>83,1</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14:paraId="66061637" w14:textId="77777777" w:rsidR="00AE4FAE" w:rsidRPr="0019793C" w:rsidRDefault="00AE4FAE" w:rsidP="000808B1">
            <w:pPr>
              <w:spacing w:after="0"/>
              <w:ind w:hanging="10"/>
              <w:jc w:val="center"/>
              <w:textAlignment w:val="center"/>
              <w:rPr>
                <w:rFonts w:eastAsia="Times New Roman" w:cs="Times New Roman"/>
                <w:kern w:val="24"/>
                <w:sz w:val="24"/>
                <w:szCs w:val="24"/>
                <w:lang w:eastAsia="ru-RU"/>
              </w:rPr>
            </w:pPr>
            <w:r w:rsidRPr="0019793C">
              <w:rPr>
                <w:sz w:val="24"/>
                <w:szCs w:val="24"/>
              </w:rPr>
              <w:t>1322,7</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14:paraId="128F2AA7" w14:textId="77777777" w:rsidR="00AE4FAE" w:rsidRPr="0019793C" w:rsidRDefault="00AE4FAE" w:rsidP="000808B1">
            <w:pPr>
              <w:spacing w:after="0"/>
              <w:ind w:hanging="10"/>
              <w:jc w:val="center"/>
              <w:textAlignment w:val="center"/>
              <w:rPr>
                <w:rFonts w:eastAsia="Times New Roman" w:cs="Times New Roman"/>
                <w:kern w:val="24"/>
                <w:sz w:val="24"/>
                <w:szCs w:val="24"/>
                <w:lang w:eastAsia="ru-RU"/>
              </w:rPr>
            </w:pPr>
            <w:r w:rsidRPr="0019793C">
              <w:rPr>
                <w:sz w:val="24"/>
                <w:szCs w:val="24"/>
              </w:rPr>
              <w:t>83,3</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14:paraId="19640703" w14:textId="77777777" w:rsidR="00AE4FAE" w:rsidRPr="0019793C" w:rsidRDefault="00AE4FAE" w:rsidP="000808B1">
            <w:pPr>
              <w:spacing w:after="0"/>
              <w:ind w:hanging="10"/>
              <w:jc w:val="center"/>
              <w:textAlignment w:val="center"/>
              <w:rPr>
                <w:rFonts w:eastAsia="Times New Roman" w:cs="Times New Roman"/>
                <w:kern w:val="24"/>
                <w:sz w:val="24"/>
                <w:szCs w:val="24"/>
                <w:lang w:eastAsia="ru-RU"/>
              </w:rPr>
            </w:pPr>
            <w:r w:rsidRPr="0019793C">
              <w:rPr>
                <w:sz w:val="24"/>
                <w:szCs w:val="24"/>
              </w:rPr>
              <w:t>1326,9</w:t>
            </w:r>
          </w:p>
        </w:tc>
      </w:tr>
      <w:tr w:rsidR="00AE4FAE" w:rsidRPr="00767129" w14:paraId="4D54394A" w14:textId="77777777" w:rsidTr="000808B1">
        <w:trPr>
          <w:trHeight w:val="427"/>
        </w:trPr>
        <w:tc>
          <w:tcPr>
            <w:tcW w:w="254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64F9D112" w14:textId="3B739E2F" w:rsidR="00AE4FAE" w:rsidRPr="00767129" w:rsidRDefault="00B7707A" w:rsidP="000808B1">
            <w:pPr>
              <w:spacing w:after="0"/>
              <w:ind w:firstLine="0"/>
              <w:jc w:val="left"/>
              <w:textAlignment w:val="center"/>
              <w:rPr>
                <w:rFonts w:ascii="Arial" w:eastAsia="Times New Roman" w:hAnsi="Arial" w:cs="Arial"/>
                <w:sz w:val="24"/>
                <w:szCs w:val="36"/>
                <w:lang w:eastAsia="ru-RU"/>
              </w:rPr>
            </w:pPr>
            <w:r>
              <w:rPr>
                <w:rFonts w:eastAsia="Times New Roman" w:cs="Times New Roman"/>
                <w:kern w:val="24"/>
                <w:sz w:val="24"/>
                <w:szCs w:val="28"/>
                <w:lang w:eastAsia="ru-RU"/>
              </w:rPr>
              <w:t xml:space="preserve"> </w:t>
            </w:r>
            <w:r w:rsidR="00AE4FAE" w:rsidRPr="00767129">
              <w:rPr>
                <w:rFonts w:eastAsia="Times New Roman" w:cs="Times New Roman"/>
                <w:kern w:val="24"/>
                <w:sz w:val="24"/>
                <w:szCs w:val="28"/>
                <w:lang w:eastAsia="ru-RU"/>
              </w:rPr>
              <w:t>– НДПИ</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5ED67DB9"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0,0</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65A20868"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0,0</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142974B2"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69,0</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156E8E42"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1099,5</w:t>
            </w:r>
          </w:p>
        </w:tc>
      </w:tr>
      <w:tr w:rsidR="00AE4FAE" w:rsidRPr="00767129" w14:paraId="7E9924C2" w14:textId="77777777" w:rsidTr="000808B1">
        <w:trPr>
          <w:trHeight w:val="427"/>
        </w:trPr>
        <w:tc>
          <w:tcPr>
            <w:tcW w:w="254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326B861" w14:textId="5D8855B4" w:rsidR="00AE4FAE" w:rsidRPr="00767129" w:rsidRDefault="00B7707A" w:rsidP="000808B1">
            <w:pPr>
              <w:spacing w:after="0"/>
              <w:ind w:firstLine="0"/>
              <w:jc w:val="left"/>
              <w:textAlignment w:val="center"/>
              <w:rPr>
                <w:rFonts w:eastAsia="Times New Roman" w:cs="Times New Roman"/>
                <w:kern w:val="24"/>
                <w:sz w:val="24"/>
                <w:szCs w:val="28"/>
                <w:lang w:eastAsia="ru-RU"/>
              </w:rPr>
            </w:pPr>
            <w:r>
              <w:rPr>
                <w:rFonts w:eastAsia="Times New Roman" w:cs="Times New Roman"/>
                <w:kern w:val="24"/>
                <w:sz w:val="24"/>
                <w:szCs w:val="28"/>
                <w:lang w:eastAsia="ru-RU"/>
              </w:rPr>
              <w:t xml:space="preserve"> </w:t>
            </w:r>
            <w:r w:rsidR="00AE4FAE" w:rsidRPr="00767129">
              <w:rPr>
                <w:rFonts w:eastAsia="Times New Roman" w:cs="Times New Roman"/>
                <w:kern w:val="24"/>
                <w:sz w:val="24"/>
                <w:szCs w:val="28"/>
                <w:lang w:eastAsia="ru-RU"/>
              </w:rPr>
              <w:t>– налог на прибыль</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6F7C3BAD"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63,8</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0C0A3EE8"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1015,4</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001C02DB"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4,5</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4DA6445B"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71,3</w:t>
            </w:r>
          </w:p>
        </w:tc>
      </w:tr>
      <w:tr w:rsidR="00AE4FAE" w:rsidRPr="00767129" w14:paraId="199243B9" w14:textId="77777777" w:rsidTr="000808B1">
        <w:trPr>
          <w:trHeight w:val="64"/>
        </w:trPr>
        <w:tc>
          <w:tcPr>
            <w:tcW w:w="254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4241C90" w14:textId="524CB20E" w:rsidR="00AE4FAE" w:rsidRPr="00767129" w:rsidRDefault="00B7707A" w:rsidP="000808B1">
            <w:pPr>
              <w:spacing w:after="0"/>
              <w:ind w:firstLine="0"/>
              <w:jc w:val="left"/>
              <w:textAlignment w:val="center"/>
              <w:rPr>
                <w:rFonts w:eastAsia="Times New Roman" w:cs="Times New Roman"/>
                <w:kern w:val="24"/>
                <w:sz w:val="24"/>
                <w:szCs w:val="28"/>
                <w:lang w:eastAsia="ru-RU"/>
              </w:rPr>
            </w:pPr>
            <w:r>
              <w:rPr>
                <w:rFonts w:eastAsia="Times New Roman" w:cs="Times New Roman"/>
                <w:kern w:val="24"/>
                <w:sz w:val="24"/>
                <w:szCs w:val="28"/>
                <w:lang w:eastAsia="ru-RU"/>
              </w:rPr>
              <w:t xml:space="preserve"> </w:t>
            </w:r>
            <w:r w:rsidR="00AE4FAE" w:rsidRPr="00767129">
              <w:rPr>
                <w:rFonts w:eastAsia="Times New Roman" w:cs="Times New Roman"/>
                <w:kern w:val="24"/>
                <w:sz w:val="24"/>
                <w:szCs w:val="28"/>
                <w:lang w:eastAsia="ru-RU"/>
              </w:rPr>
              <w:t>– налог на имущество</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14:paraId="0868A458" w14:textId="77777777" w:rsidR="00AE4FAE" w:rsidRPr="0019793C" w:rsidRDefault="00AE4FAE" w:rsidP="000808B1">
            <w:pPr>
              <w:spacing w:after="0"/>
              <w:ind w:hanging="10"/>
              <w:jc w:val="center"/>
              <w:textAlignment w:val="center"/>
              <w:rPr>
                <w:rFonts w:eastAsia="Times New Roman" w:cs="Times New Roman"/>
                <w:kern w:val="24"/>
                <w:sz w:val="24"/>
                <w:szCs w:val="24"/>
                <w:lang w:eastAsia="ru-RU"/>
              </w:rPr>
            </w:pPr>
            <w:r w:rsidRPr="0019793C">
              <w:rPr>
                <w:sz w:val="24"/>
                <w:szCs w:val="24"/>
              </w:rPr>
              <w:t>6,5</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14:paraId="31758A41" w14:textId="77777777" w:rsidR="00AE4FAE" w:rsidRPr="0019793C" w:rsidRDefault="00AE4FAE" w:rsidP="000808B1">
            <w:pPr>
              <w:spacing w:after="0"/>
              <w:ind w:hanging="10"/>
              <w:jc w:val="center"/>
              <w:textAlignment w:val="center"/>
              <w:rPr>
                <w:rFonts w:eastAsia="Times New Roman" w:cs="Times New Roman"/>
                <w:kern w:val="24"/>
                <w:sz w:val="24"/>
                <w:szCs w:val="24"/>
                <w:lang w:eastAsia="ru-RU"/>
              </w:rPr>
            </w:pPr>
            <w:r w:rsidRPr="0019793C">
              <w:rPr>
                <w:sz w:val="24"/>
                <w:szCs w:val="24"/>
              </w:rPr>
              <w:t>103,8</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14:paraId="0545A1A1" w14:textId="77777777" w:rsidR="00AE4FAE" w:rsidRPr="0019793C" w:rsidRDefault="00AE4FAE" w:rsidP="000808B1">
            <w:pPr>
              <w:spacing w:after="0"/>
              <w:ind w:hanging="10"/>
              <w:jc w:val="center"/>
              <w:textAlignment w:val="center"/>
              <w:rPr>
                <w:rFonts w:eastAsia="Times New Roman" w:cs="Times New Roman"/>
                <w:kern w:val="24"/>
                <w:sz w:val="24"/>
                <w:szCs w:val="24"/>
                <w:lang w:eastAsia="ru-RU"/>
              </w:rPr>
            </w:pPr>
            <w:r w:rsidRPr="0019793C">
              <w:rPr>
                <w:sz w:val="24"/>
                <w:szCs w:val="24"/>
              </w:rPr>
              <w:t>1,6</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tcPr>
          <w:p w14:paraId="5B5651F0" w14:textId="77777777" w:rsidR="00AE4FAE" w:rsidRPr="0019793C" w:rsidRDefault="00AE4FAE" w:rsidP="000808B1">
            <w:pPr>
              <w:spacing w:after="0"/>
              <w:ind w:hanging="10"/>
              <w:jc w:val="center"/>
              <w:textAlignment w:val="center"/>
              <w:rPr>
                <w:rFonts w:eastAsia="Times New Roman" w:cs="Times New Roman"/>
                <w:kern w:val="24"/>
                <w:sz w:val="24"/>
                <w:szCs w:val="24"/>
                <w:lang w:eastAsia="ru-RU"/>
              </w:rPr>
            </w:pPr>
            <w:r w:rsidRPr="0019793C">
              <w:rPr>
                <w:sz w:val="24"/>
                <w:szCs w:val="24"/>
              </w:rPr>
              <w:t>26,1</w:t>
            </w:r>
          </w:p>
        </w:tc>
      </w:tr>
      <w:tr w:rsidR="00AE4FAE" w:rsidRPr="00767129" w14:paraId="554CD2AB" w14:textId="77777777" w:rsidTr="000808B1">
        <w:trPr>
          <w:trHeight w:val="552"/>
        </w:trPr>
        <w:tc>
          <w:tcPr>
            <w:tcW w:w="2542"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B3CDA63" w14:textId="6357B0DB" w:rsidR="00AE4FAE" w:rsidRPr="00767129" w:rsidRDefault="00B7707A" w:rsidP="000808B1">
            <w:pPr>
              <w:spacing w:after="0"/>
              <w:ind w:firstLine="0"/>
              <w:jc w:val="left"/>
              <w:textAlignment w:val="center"/>
              <w:rPr>
                <w:rFonts w:ascii="Arial" w:eastAsia="Times New Roman" w:hAnsi="Arial" w:cs="Arial"/>
                <w:sz w:val="24"/>
                <w:szCs w:val="36"/>
                <w:lang w:eastAsia="ru-RU"/>
              </w:rPr>
            </w:pPr>
            <w:r>
              <w:rPr>
                <w:rFonts w:eastAsia="Times New Roman" w:cs="Times New Roman"/>
                <w:kern w:val="24"/>
                <w:sz w:val="24"/>
                <w:szCs w:val="28"/>
                <w:lang w:eastAsia="ru-RU"/>
              </w:rPr>
              <w:t xml:space="preserve"> </w:t>
            </w:r>
            <w:r w:rsidR="00AE4FAE" w:rsidRPr="00767129">
              <w:rPr>
                <w:rFonts w:eastAsia="Times New Roman" w:cs="Times New Roman"/>
                <w:kern w:val="24"/>
                <w:sz w:val="24"/>
                <w:szCs w:val="28"/>
                <w:lang w:eastAsia="ru-RU"/>
              </w:rPr>
              <w:t>– налоги от смежных отраслей</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0892DB10"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12,8</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04EAB927"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203,5</w:t>
            </w:r>
          </w:p>
        </w:tc>
        <w:tc>
          <w:tcPr>
            <w:tcW w:w="1736"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3BCDB375"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8,2</w:t>
            </w:r>
          </w:p>
        </w:tc>
        <w:tc>
          <w:tcPr>
            <w:tcW w:w="1737" w:type="dxa"/>
            <w:tcBorders>
              <w:top w:val="single" w:sz="8" w:space="0" w:color="000000"/>
              <w:left w:val="single" w:sz="8" w:space="0" w:color="000000"/>
              <w:bottom w:val="single" w:sz="8" w:space="0" w:color="000000"/>
              <w:right w:val="single" w:sz="8" w:space="0" w:color="000000"/>
            </w:tcBorders>
            <w:tcMar>
              <w:top w:w="11" w:type="dxa"/>
              <w:left w:w="11" w:type="dxa"/>
              <w:bottom w:w="0" w:type="dxa"/>
              <w:right w:w="11" w:type="dxa"/>
            </w:tcMar>
            <w:hideMark/>
          </w:tcPr>
          <w:p w14:paraId="5D6A6260" w14:textId="77777777" w:rsidR="00AE4FAE" w:rsidRPr="0019793C" w:rsidRDefault="00AE4FAE" w:rsidP="000808B1">
            <w:pPr>
              <w:spacing w:after="0"/>
              <w:ind w:hanging="10"/>
              <w:jc w:val="center"/>
              <w:textAlignment w:val="center"/>
              <w:rPr>
                <w:rFonts w:eastAsia="Times New Roman" w:cs="Times New Roman"/>
                <w:sz w:val="24"/>
                <w:szCs w:val="24"/>
                <w:lang w:eastAsia="ru-RU"/>
              </w:rPr>
            </w:pPr>
            <w:r w:rsidRPr="0019793C">
              <w:rPr>
                <w:sz w:val="24"/>
                <w:szCs w:val="24"/>
              </w:rPr>
              <w:t>130,0</w:t>
            </w:r>
          </w:p>
        </w:tc>
      </w:tr>
    </w:tbl>
    <w:p w14:paraId="7F3AC322" w14:textId="2F369789" w:rsidR="00AE4FAE" w:rsidRPr="00A92E29" w:rsidRDefault="00AE4FAE" w:rsidP="00AE4FAE">
      <w:pPr>
        <w:spacing w:after="0"/>
        <w:rPr>
          <w:rFonts w:cs="Times New Roman"/>
          <w:szCs w:val="28"/>
        </w:rPr>
      </w:pPr>
      <w:r w:rsidRPr="00767129">
        <w:rPr>
          <w:rFonts w:cs="Times New Roman"/>
          <w:szCs w:val="28"/>
        </w:rPr>
        <w:t xml:space="preserve">На основании </w:t>
      </w:r>
      <w:r>
        <w:rPr>
          <w:rFonts w:cs="Times New Roman"/>
          <w:szCs w:val="28"/>
        </w:rPr>
        <w:t xml:space="preserve">результатов </w:t>
      </w:r>
      <w:r w:rsidRPr="00767129">
        <w:rPr>
          <w:rFonts w:cs="Times New Roman"/>
          <w:szCs w:val="28"/>
        </w:rPr>
        <w:t>расчетов</w:t>
      </w:r>
      <w:r>
        <w:rPr>
          <w:rFonts w:cs="Times New Roman"/>
          <w:szCs w:val="28"/>
        </w:rPr>
        <w:t>,</w:t>
      </w:r>
      <w:r w:rsidRPr="00767129">
        <w:rPr>
          <w:rFonts w:cs="Times New Roman"/>
          <w:szCs w:val="28"/>
        </w:rPr>
        <w:t xml:space="preserve"> </w:t>
      </w:r>
      <w:r w:rsidRPr="00A92E29">
        <w:rPr>
          <w:rFonts w:cs="Times New Roman"/>
          <w:szCs w:val="28"/>
        </w:rPr>
        <w:t>приведенных в табл</w:t>
      </w:r>
      <w:r w:rsidR="005F74A1" w:rsidRPr="00A92E29">
        <w:rPr>
          <w:rFonts w:cs="Times New Roman"/>
          <w:szCs w:val="28"/>
        </w:rPr>
        <w:t>.</w:t>
      </w:r>
      <w:r w:rsidRPr="00A92E29">
        <w:rPr>
          <w:rFonts w:cs="Times New Roman"/>
          <w:szCs w:val="28"/>
        </w:rPr>
        <w:t xml:space="preserve"> </w:t>
      </w:r>
      <w:r w:rsidR="00413FDD" w:rsidRPr="00A92E29">
        <w:rPr>
          <w:rFonts w:cs="Times New Roman"/>
          <w:szCs w:val="28"/>
        </w:rPr>
        <w:t>2</w:t>
      </w:r>
      <w:r w:rsidRPr="00A92E29">
        <w:rPr>
          <w:rFonts w:cs="Times New Roman"/>
          <w:szCs w:val="28"/>
        </w:rPr>
        <w:t xml:space="preserve">, можно сделать следующие выводы: </w:t>
      </w:r>
    </w:p>
    <w:p w14:paraId="0C5CE777" w14:textId="66A3D0E3" w:rsidR="00AE4FAE" w:rsidRPr="00767129" w:rsidRDefault="00AE4FAE" w:rsidP="00AE4FAE">
      <w:pPr>
        <w:pStyle w:val="a3"/>
      </w:pPr>
      <w:r w:rsidRPr="00A92E29">
        <w:t xml:space="preserve">– налоговые доходы государства для двух вариантов </w:t>
      </w:r>
      <w:r w:rsidRPr="00767129">
        <w:t>налогообложения</w:t>
      </w:r>
      <w:r>
        <w:t xml:space="preserve"> (с льготами </w:t>
      </w:r>
      <w:r w:rsidR="003D3006">
        <w:t xml:space="preserve">для ТРИЗ </w:t>
      </w:r>
      <w:r>
        <w:t xml:space="preserve">и без </w:t>
      </w:r>
      <w:r w:rsidR="00671236">
        <w:t>льгот</w:t>
      </w:r>
      <w:r w:rsidR="003D3006">
        <w:t xml:space="preserve"> для сеноманского газа</w:t>
      </w:r>
      <w:r>
        <w:t xml:space="preserve">) </w:t>
      </w:r>
      <w:r w:rsidRPr="00767129">
        <w:t xml:space="preserve">будут </w:t>
      </w:r>
      <w:r>
        <w:t>находиться на одном уровне</w:t>
      </w:r>
      <w:r w:rsidR="007666CF">
        <w:t>,</w:t>
      </w:r>
      <w:r>
        <w:t xml:space="preserve"> прежде всего, за счет добычи </w:t>
      </w:r>
      <w:r w:rsidR="00EF7ACF">
        <w:t xml:space="preserve">из ТРИЗ </w:t>
      </w:r>
      <w:r>
        <w:t>и последующей реализации газового конденсата;</w:t>
      </w:r>
    </w:p>
    <w:p w14:paraId="63287A4C" w14:textId="7B0E82D7" w:rsidR="00AE4FAE" w:rsidRPr="00767129" w:rsidRDefault="00AE4FAE" w:rsidP="00AE4FAE">
      <w:pPr>
        <w:pStyle w:val="a3"/>
      </w:pPr>
      <w:r>
        <w:t>–</w:t>
      </w:r>
      <w:r w:rsidR="00D32B66">
        <w:t xml:space="preserve"> </w:t>
      </w:r>
      <w:r w:rsidRPr="00767129">
        <w:t>налоговы</w:t>
      </w:r>
      <w:r w:rsidR="00D32B66">
        <w:t>е</w:t>
      </w:r>
      <w:r w:rsidRPr="00767129">
        <w:t xml:space="preserve"> </w:t>
      </w:r>
      <w:r w:rsidR="007D1DBB" w:rsidRPr="007D1DBB">
        <w:rPr>
          <w:color w:val="0000FF"/>
        </w:rPr>
        <w:t>стимул</w:t>
      </w:r>
      <w:r w:rsidR="00D32B66" w:rsidRPr="007D1DBB">
        <w:rPr>
          <w:color w:val="0000FF"/>
        </w:rPr>
        <w:t>ы</w:t>
      </w:r>
      <w:r w:rsidRPr="00767129">
        <w:t xml:space="preserve"> буд</w:t>
      </w:r>
      <w:r w:rsidR="00D32B66">
        <w:t>у</w:t>
      </w:r>
      <w:r w:rsidRPr="00767129">
        <w:t xml:space="preserve">т способствовать вовлечению в </w:t>
      </w:r>
      <w:r>
        <w:t xml:space="preserve">хозяйственный оборот </w:t>
      </w:r>
      <w:r w:rsidRPr="00767129">
        <w:t>ТРИЗ</w:t>
      </w:r>
      <w:r w:rsidR="00671236">
        <w:t xml:space="preserve"> газа</w:t>
      </w:r>
      <w:r w:rsidRPr="00767129">
        <w:t xml:space="preserve"> </w:t>
      </w:r>
      <w:r w:rsidR="00D24F5B">
        <w:t xml:space="preserve">(по оценкам газовых компаний – </w:t>
      </w:r>
      <w:r w:rsidR="0076749A">
        <w:t xml:space="preserve">в объеме </w:t>
      </w:r>
      <w:r w:rsidR="00D24F5B">
        <w:t>около</w:t>
      </w:r>
      <w:r w:rsidR="00D24F5B" w:rsidRPr="00767129">
        <w:t xml:space="preserve"> 2 трлн м</w:t>
      </w:r>
      <w:r w:rsidR="00D24F5B" w:rsidRPr="00767129">
        <w:rPr>
          <w:vertAlign w:val="superscript"/>
        </w:rPr>
        <w:t>3</w:t>
      </w:r>
      <w:r w:rsidR="00D24F5B">
        <w:t xml:space="preserve">) </w:t>
      </w:r>
      <w:r w:rsidRPr="00767129">
        <w:t>и</w:t>
      </w:r>
      <w:r>
        <w:t>, соответственно,</w:t>
      </w:r>
      <w:r w:rsidRPr="00767129">
        <w:t xml:space="preserve"> сохранению </w:t>
      </w:r>
      <w:r>
        <w:t xml:space="preserve">и развитию </w:t>
      </w:r>
      <w:r w:rsidRPr="00767129">
        <w:t xml:space="preserve">действующей </w:t>
      </w:r>
      <w:r>
        <w:t>производственной и социальной</w:t>
      </w:r>
      <w:r w:rsidRPr="00767129">
        <w:t xml:space="preserve"> инфраструктуры Надым-П</w:t>
      </w:r>
      <w:r>
        <w:t>ур-Тазовского р</w:t>
      </w:r>
      <w:r w:rsidR="00B7707A">
        <w:t>айо</w:t>
      </w:r>
      <w:r>
        <w:t>на;</w:t>
      </w:r>
    </w:p>
    <w:p w14:paraId="22E8AD0C" w14:textId="3A3FBFB2" w:rsidR="00AE4FAE" w:rsidRPr="00767129" w:rsidRDefault="00AE4FAE" w:rsidP="00AE4FAE">
      <w:pPr>
        <w:pStyle w:val="a3"/>
      </w:pPr>
      <w:r>
        <w:t xml:space="preserve">– </w:t>
      </w:r>
      <w:r w:rsidR="003A438E" w:rsidRPr="003A438E">
        <w:rPr>
          <w:color w:val="0000FF"/>
        </w:rPr>
        <w:t>использование механизмов стимулиров</w:t>
      </w:r>
      <w:r w:rsidR="003A438E">
        <w:t>ания</w:t>
      </w:r>
      <w:r w:rsidRPr="00767129">
        <w:t xml:space="preserve"> </w:t>
      </w:r>
      <w:r>
        <w:t>создаст предпосылки для</w:t>
      </w:r>
      <w:r w:rsidRPr="00767129">
        <w:t xml:space="preserve"> разви</w:t>
      </w:r>
      <w:r>
        <w:t>тия</w:t>
      </w:r>
      <w:r w:rsidRPr="00767129">
        <w:t xml:space="preserve"> </w:t>
      </w:r>
      <w:r w:rsidR="00B7707A">
        <w:t xml:space="preserve">инновационных </w:t>
      </w:r>
      <w:r w:rsidRPr="00767129">
        <w:t>технологи</w:t>
      </w:r>
      <w:r>
        <w:t>й</w:t>
      </w:r>
      <w:r w:rsidR="00B7707A">
        <w:t xml:space="preserve"> и производства нового оборудования и материалов</w:t>
      </w:r>
      <w:r>
        <w:t>,</w:t>
      </w:r>
      <w:r w:rsidRPr="00767129">
        <w:t xml:space="preserve"> необходимы</w:t>
      </w:r>
      <w:r>
        <w:t>х</w:t>
      </w:r>
      <w:r w:rsidRPr="00767129">
        <w:t xml:space="preserve"> для добычи газа из более сложных пластов</w:t>
      </w:r>
      <w:r>
        <w:t>,</w:t>
      </w:r>
      <w:r w:rsidRPr="00767129">
        <w:t xml:space="preserve"> </w:t>
      </w:r>
      <w:r>
        <w:t xml:space="preserve">а также </w:t>
      </w:r>
      <w:r w:rsidRPr="00767129">
        <w:t xml:space="preserve">будет способствовать </w:t>
      </w:r>
      <w:r>
        <w:t xml:space="preserve">формированию и </w:t>
      </w:r>
      <w:r w:rsidRPr="00767129">
        <w:t>развитию сервисн</w:t>
      </w:r>
      <w:r>
        <w:t>ых компаний, прежде всего, высокотехнологичных и наукоемких</w:t>
      </w:r>
      <w:r w:rsidRPr="00767129">
        <w:t>.</w:t>
      </w:r>
    </w:p>
    <w:p w14:paraId="47368E90" w14:textId="2A5789DC" w:rsidR="00CB321C" w:rsidRDefault="00AE4FAE" w:rsidP="00C81629">
      <w:pPr>
        <w:ind w:firstLine="708"/>
        <w:rPr>
          <w:rFonts w:cs="Times New Roman"/>
          <w:color w:val="0000FF"/>
        </w:rPr>
      </w:pPr>
      <w:r>
        <w:rPr>
          <w:rFonts w:cs="Times New Roman"/>
        </w:rPr>
        <w:lastRenderedPageBreak/>
        <w:t>Результаты расчетов</w:t>
      </w:r>
      <w:r w:rsidRPr="009A708B">
        <w:rPr>
          <w:rFonts w:cs="Times New Roman"/>
        </w:rPr>
        <w:t xml:space="preserve"> </w:t>
      </w:r>
      <w:r>
        <w:rPr>
          <w:rFonts w:cs="Times New Roman"/>
        </w:rPr>
        <w:t xml:space="preserve">во многом </w:t>
      </w:r>
      <w:r w:rsidRPr="009A708B">
        <w:rPr>
          <w:rFonts w:cs="Times New Roman"/>
        </w:rPr>
        <w:t>отража</w:t>
      </w:r>
      <w:r>
        <w:rPr>
          <w:rFonts w:cs="Times New Roman"/>
        </w:rPr>
        <w:t>ю</w:t>
      </w:r>
      <w:r w:rsidRPr="009A708B">
        <w:rPr>
          <w:rFonts w:cs="Times New Roman"/>
        </w:rPr>
        <w:t xml:space="preserve">т </w:t>
      </w:r>
      <w:r w:rsidR="00F419D3">
        <w:rPr>
          <w:rFonts w:cs="Times New Roman"/>
        </w:rPr>
        <w:t xml:space="preserve">характерную </w:t>
      </w:r>
      <w:r w:rsidRPr="009A708B">
        <w:rPr>
          <w:rFonts w:cs="Times New Roman"/>
        </w:rPr>
        <w:t xml:space="preserve">ситуацию для высокотехнологичных проектов </w:t>
      </w:r>
      <w:r>
        <w:rPr>
          <w:rFonts w:cs="Times New Roman"/>
        </w:rPr>
        <w:t xml:space="preserve">добычи </w:t>
      </w:r>
      <w:r w:rsidR="00671236">
        <w:rPr>
          <w:rFonts w:cs="Times New Roman"/>
        </w:rPr>
        <w:t xml:space="preserve">газа из </w:t>
      </w:r>
      <w:r>
        <w:rPr>
          <w:rFonts w:cs="Times New Roman"/>
        </w:rPr>
        <w:t xml:space="preserve">ТРИЗ </w:t>
      </w:r>
      <w:r w:rsidRPr="009A708B">
        <w:rPr>
          <w:rFonts w:cs="Times New Roman"/>
        </w:rPr>
        <w:t xml:space="preserve">при текущем налогообложении. </w:t>
      </w:r>
      <w:r>
        <w:rPr>
          <w:rFonts w:cs="Times New Roman"/>
        </w:rPr>
        <w:t>Н</w:t>
      </w:r>
      <w:r w:rsidRPr="009A708B">
        <w:rPr>
          <w:rFonts w:cs="Times New Roman"/>
        </w:rPr>
        <w:t xml:space="preserve">алоги </w:t>
      </w:r>
      <w:r>
        <w:rPr>
          <w:rFonts w:cs="Times New Roman"/>
        </w:rPr>
        <w:t>и</w:t>
      </w:r>
      <w:r w:rsidRPr="009A708B">
        <w:rPr>
          <w:rFonts w:cs="Times New Roman"/>
        </w:rPr>
        <w:t xml:space="preserve"> более высоки</w:t>
      </w:r>
      <w:r>
        <w:rPr>
          <w:rFonts w:cs="Times New Roman"/>
        </w:rPr>
        <w:t>е издержки</w:t>
      </w:r>
      <w:r w:rsidRPr="009A708B">
        <w:rPr>
          <w:rFonts w:cs="Times New Roman"/>
        </w:rPr>
        <w:t xml:space="preserve"> делают проект</w:t>
      </w:r>
      <w:r>
        <w:rPr>
          <w:rFonts w:cs="Times New Roman"/>
        </w:rPr>
        <w:t>ы освоения ТРИЗ</w:t>
      </w:r>
      <w:r w:rsidRPr="009A708B">
        <w:rPr>
          <w:rFonts w:cs="Times New Roman"/>
        </w:rPr>
        <w:t xml:space="preserve"> </w:t>
      </w:r>
      <w:r w:rsidR="00671236">
        <w:rPr>
          <w:rFonts w:cs="Times New Roman"/>
        </w:rPr>
        <w:t xml:space="preserve">мало- или вовсе </w:t>
      </w:r>
      <w:r w:rsidRPr="009A708B">
        <w:rPr>
          <w:rFonts w:cs="Times New Roman"/>
        </w:rPr>
        <w:t>нерентабельным</w:t>
      </w:r>
      <w:r>
        <w:rPr>
          <w:rFonts w:cs="Times New Roman"/>
        </w:rPr>
        <w:t>и</w:t>
      </w:r>
      <w:r w:rsidRPr="009A708B">
        <w:rPr>
          <w:rFonts w:cs="Times New Roman"/>
        </w:rPr>
        <w:t xml:space="preserve"> и</w:t>
      </w:r>
      <w:r>
        <w:rPr>
          <w:rFonts w:cs="Times New Roman"/>
        </w:rPr>
        <w:t>, как следствие,</w:t>
      </w:r>
      <w:r w:rsidRPr="009A708B">
        <w:rPr>
          <w:rFonts w:cs="Times New Roman"/>
        </w:rPr>
        <w:t xml:space="preserve"> </w:t>
      </w:r>
      <w:r w:rsidR="00671236">
        <w:rPr>
          <w:rFonts w:cs="Times New Roman"/>
        </w:rPr>
        <w:t>не</w:t>
      </w:r>
      <w:r w:rsidRPr="009A708B">
        <w:rPr>
          <w:rFonts w:cs="Times New Roman"/>
        </w:rPr>
        <w:t>интересным</w:t>
      </w:r>
      <w:r>
        <w:rPr>
          <w:rFonts w:cs="Times New Roman"/>
        </w:rPr>
        <w:t>и</w:t>
      </w:r>
      <w:r w:rsidRPr="009A708B">
        <w:rPr>
          <w:rFonts w:cs="Times New Roman"/>
        </w:rPr>
        <w:t xml:space="preserve"> для инвесторов. Однако </w:t>
      </w:r>
      <w:r w:rsidR="00D126C7">
        <w:rPr>
          <w:rFonts w:cs="Times New Roman"/>
        </w:rPr>
        <w:t xml:space="preserve">обоснованные дополнительные </w:t>
      </w:r>
      <w:r w:rsidR="00CB321C" w:rsidRPr="00CB321C">
        <w:rPr>
          <w:rFonts w:cs="Times New Roman"/>
          <w:color w:val="0000FF"/>
        </w:rPr>
        <w:t>мер</w:t>
      </w:r>
      <w:r w:rsidRPr="00CB321C">
        <w:rPr>
          <w:rFonts w:cs="Times New Roman"/>
          <w:color w:val="0000FF"/>
        </w:rPr>
        <w:t>ы</w:t>
      </w:r>
      <w:r w:rsidR="00CB321C" w:rsidRPr="00CB321C">
        <w:rPr>
          <w:rFonts w:cs="Times New Roman"/>
          <w:color w:val="0000FF"/>
        </w:rPr>
        <w:t xml:space="preserve"> стимулирования</w:t>
      </w:r>
      <w:r w:rsidRPr="00CB321C">
        <w:rPr>
          <w:rFonts w:cs="Times New Roman"/>
          <w:color w:val="0000FF"/>
        </w:rPr>
        <w:t xml:space="preserve"> </w:t>
      </w:r>
      <w:r>
        <w:rPr>
          <w:rFonts w:cs="Times New Roman"/>
        </w:rPr>
        <w:t xml:space="preserve">для </w:t>
      </w:r>
      <w:r w:rsidRPr="009A708B">
        <w:rPr>
          <w:rFonts w:cs="Times New Roman"/>
        </w:rPr>
        <w:t xml:space="preserve">высокотехнологичных проектов </w:t>
      </w:r>
      <w:r>
        <w:rPr>
          <w:rFonts w:cs="Times New Roman"/>
        </w:rPr>
        <w:t xml:space="preserve">будут создавать предпосылки для </w:t>
      </w:r>
      <w:r w:rsidR="00D126C7">
        <w:rPr>
          <w:rFonts w:cs="Times New Roman"/>
        </w:rPr>
        <w:t>новы</w:t>
      </w:r>
      <w:r>
        <w:rPr>
          <w:rFonts w:cs="Times New Roman"/>
        </w:rPr>
        <w:t>х</w:t>
      </w:r>
      <w:r w:rsidRPr="009A708B">
        <w:rPr>
          <w:rFonts w:cs="Times New Roman"/>
        </w:rPr>
        <w:t xml:space="preserve"> инвестици</w:t>
      </w:r>
      <w:r>
        <w:rPr>
          <w:rFonts w:cs="Times New Roman"/>
        </w:rPr>
        <w:t>й</w:t>
      </w:r>
      <w:r w:rsidRPr="009A708B">
        <w:rPr>
          <w:rFonts w:cs="Times New Roman"/>
        </w:rPr>
        <w:t xml:space="preserve"> </w:t>
      </w:r>
      <w:r>
        <w:rPr>
          <w:rFonts w:cs="Times New Roman"/>
        </w:rPr>
        <w:t xml:space="preserve">в </w:t>
      </w:r>
      <w:r w:rsidRPr="009A708B">
        <w:rPr>
          <w:rFonts w:cs="Times New Roman"/>
        </w:rPr>
        <w:t>экономик</w:t>
      </w:r>
      <w:r>
        <w:rPr>
          <w:rFonts w:cs="Times New Roman"/>
        </w:rPr>
        <w:t>у</w:t>
      </w:r>
      <w:r w:rsidRPr="009A708B">
        <w:rPr>
          <w:rFonts w:cs="Times New Roman"/>
        </w:rPr>
        <w:t xml:space="preserve"> и</w:t>
      </w:r>
      <w:r>
        <w:rPr>
          <w:rFonts w:cs="Times New Roman"/>
        </w:rPr>
        <w:t>, соответственно,</w:t>
      </w:r>
      <w:r w:rsidRPr="009A708B">
        <w:rPr>
          <w:rFonts w:cs="Times New Roman"/>
        </w:rPr>
        <w:t xml:space="preserve"> </w:t>
      </w:r>
      <w:r>
        <w:rPr>
          <w:rFonts w:cs="Times New Roman"/>
        </w:rPr>
        <w:t>для</w:t>
      </w:r>
      <w:r w:rsidRPr="009A708B">
        <w:rPr>
          <w:rFonts w:cs="Times New Roman"/>
        </w:rPr>
        <w:t xml:space="preserve"> долгосрочного экономического роста.</w:t>
      </w:r>
      <w:r w:rsidR="00CB321C">
        <w:rPr>
          <w:rFonts w:cs="Times New Roman"/>
        </w:rPr>
        <w:t xml:space="preserve"> </w:t>
      </w:r>
      <w:r w:rsidR="00CB321C" w:rsidRPr="00CB321C">
        <w:rPr>
          <w:rFonts w:cs="Times New Roman"/>
          <w:color w:val="0000FF"/>
        </w:rPr>
        <w:t>Следует подчеркнуть, что стимулирующее налогообложение ориентировано на выравнивание фискальных условий для объектов</w:t>
      </w:r>
      <w:r w:rsidR="00CB321C">
        <w:rPr>
          <w:rFonts w:cs="Times New Roman"/>
          <w:color w:val="0000FF"/>
        </w:rPr>
        <w:t>, в силу объективных причин в значительной степени</w:t>
      </w:r>
      <w:r w:rsidR="00CB321C" w:rsidRPr="00CB321C">
        <w:rPr>
          <w:rFonts w:cs="Times New Roman"/>
          <w:color w:val="0000FF"/>
        </w:rPr>
        <w:t xml:space="preserve"> раз</w:t>
      </w:r>
      <w:r w:rsidR="00CB321C">
        <w:rPr>
          <w:rFonts w:cs="Times New Roman"/>
          <w:color w:val="0000FF"/>
        </w:rPr>
        <w:t xml:space="preserve">личающихся </w:t>
      </w:r>
      <w:r w:rsidR="00CB321C" w:rsidRPr="00CB321C">
        <w:rPr>
          <w:rFonts w:cs="Times New Roman"/>
          <w:color w:val="0000FF"/>
        </w:rPr>
        <w:t>по геологическим, географическим, финансовым и др</w:t>
      </w:r>
      <w:r w:rsidR="00CB321C">
        <w:rPr>
          <w:rFonts w:cs="Times New Roman"/>
          <w:color w:val="0000FF"/>
        </w:rPr>
        <w:t>угим</w:t>
      </w:r>
      <w:r w:rsidR="00CB321C" w:rsidRPr="00CB321C">
        <w:rPr>
          <w:rFonts w:cs="Times New Roman"/>
          <w:color w:val="0000FF"/>
        </w:rPr>
        <w:t xml:space="preserve"> характеристикам</w:t>
      </w:r>
      <w:r w:rsidR="00CB321C">
        <w:rPr>
          <w:rFonts w:cs="Times New Roman"/>
          <w:color w:val="0000FF"/>
        </w:rPr>
        <w:t>.</w:t>
      </w:r>
      <w:r w:rsidR="00A92E29">
        <w:rPr>
          <w:rFonts w:cs="Times New Roman"/>
          <w:color w:val="0000FF"/>
        </w:rPr>
        <w:t xml:space="preserve"> В</w:t>
      </w:r>
      <w:r w:rsidR="00A92E29" w:rsidRPr="00A92E29">
        <w:rPr>
          <w:rFonts w:cs="Times New Roman"/>
          <w:color w:val="0000FF"/>
        </w:rPr>
        <w:t xml:space="preserve"> результате стимулирующих мер государство интегрально не теряет, а п</w:t>
      </w:r>
      <w:r w:rsidR="00316622">
        <w:rPr>
          <w:rFonts w:cs="Times New Roman"/>
          <w:color w:val="0000FF"/>
        </w:rPr>
        <w:t>олучает дополнительные выгоды</w:t>
      </w:r>
      <w:bookmarkStart w:id="11" w:name="_GoBack"/>
      <w:bookmarkEnd w:id="11"/>
      <w:r w:rsidR="00B62E69">
        <w:rPr>
          <w:rFonts w:cs="Times New Roman"/>
          <w:color w:val="0000FF"/>
        </w:rPr>
        <w:t xml:space="preserve"> </w:t>
      </w:r>
      <w:r w:rsidR="00B62E69" w:rsidRPr="00D151A3">
        <w:rPr>
          <w:rFonts w:cs="Times New Roman"/>
          <w:color w:val="0000FF"/>
        </w:rPr>
        <w:t>(</w:t>
      </w:r>
      <w:r w:rsidR="00B62E69" w:rsidRPr="00D151A3">
        <w:rPr>
          <w:color w:val="0000FF"/>
          <w:lang w:val="en-US"/>
        </w:rPr>
        <w:t>Konoplyanik</w:t>
      </w:r>
      <w:r w:rsidR="00B62E69" w:rsidRPr="00D151A3">
        <w:rPr>
          <w:color w:val="0000FF"/>
        </w:rPr>
        <w:t>, 2023).</w:t>
      </w:r>
      <w:r w:rsidR="00A92E29" w:rsidRPr="00D151A3">
        <w:rPr>
          <w:rFonts w:cs="Times New Roman"/>
          <w:color w:val="0000FF"/>
        </w:rPr>
        <w:t xml:space="preserve"> Потеря </w:t>
      </w:r>
      <w:r w:rsidR="00A92E29" w:rsidRPr="00A92E29">
        <w:rPr>
          <w:rFonts w:cs="Times New Roman"/>
          <w:color w:val="0000FF"/>
        </w:rPr>
        <w:t xml:space="preserve">части налогов </w:t>
      </w:r>
      <w:r w:rsidR="00A92E29">
        <w:rPr>
          <w:rFonts w:cs="Times New Roman"/>
          <w:color w:val="0000FF"/>
        </w:rPr>
        <w:t>(Н</w:t>
      </w:r>
      <w:r w:rsidR="00A92E29" w:rsidRPr="00A92E29">
        <w:rPr>
          <w:rFonts w:cs="Times New Roman"/>
          <w:color w:val="0000FF"/>
        </w:rPr>
        <w:t>ДПИ</w:t>
      </w:r>
      <w:r w:rsidR="00A92E29">
        <w:rPr>
          <w:rFonts w:cs="Times New Roman"/>
          <w:color w:val="0000FF"/>
        </w:rPr>
        <w:t>)</w:t>
      </w:r>
      <w:r w:rsidR="00A92E29" w:rsidRPr="00A92E29">
        <w:rPr>
          <w:rFonts w:cs="Times New Roman"/>
          <w:color w:val="0000FF"/>
        </w:rPr>
        <w:t xml:space="preserve"> компенсируется за счет прямых, косвенных и мультипликативных эффектов </w:t>
      </w:r>
      <w:r w:rsidR="003A438E" w:rsidRPr="003A438E">
        <w:rPr>
          <w:rFonts w:cs="Times New Roman"/>
          <w:color w:val="0000FF"/>
        </w:rPr>
        <w:t>в результате</w:t>
      </w:r>
      <w:r w:rsidR="00A92E29" w:rsidRPr="00A92E29">
        <w:rPr>
          <w:rFonts w:cs="Times New Roman"/>
          <w:color w:val="0000FF"/>
        </w:rPr>
        <w:t xml:space="preserve"> ввода </w:t>
      </w:r>
      <w:r w:rsidR="003A438E" w:rsidRPr="00A92E29">
        <w:rPr>
          <w:rFonts w:cs="Times New Roman"/>
          <w:color w:val="0000FF"/>
        </w:rPr>
        <w:t xml:space="preserve">в разработку </w:t>
      </w:r>
      <w:r w:rsidR="00A92E29" w:rsidRPr="00A92E29">
        <w:rPr>
          <w:rFonts w:cs="Times New Roman"/>
          <w:color w:val="0000FF"/>
        </w:rPr>
        <w:t xml:space="preserve">новых </w:t>
      </w:r>
      <w:r w:rsidR="00481A50">
        <w:rPr>
          <w:rFonts w:cs="Times New Roman"/>
          <w:color w:val="0000FF"/>
        </w:rPr>
        <w:t xml:space="preserve">объектов и </w:t>
      </w:r>
      <w:r w:rsidR="00A92E29" w:rsidRPr="00A92E29">
        <w:rPr>
          <w:rFonts w:cs="Times New Roman"/>
          <w:color w:val="0000FF"/>
        </w:rPr>
        <w:t>месторождений.</w:t>
      </w:r>
    </w:p>
    <w:p w14:paraId="20A65ADF" w14:textId="77777777" w:rsidR="00735D4D" w:rsidRPr="009A708B" w:rsidRDefault="00735D4D" w:rsidP="00C81629">
      <w:pPr>
        <w:ind w:firstLine="708"/>
      </w:pPr>
    </w:p>
    <w:p w14:paraId="3BA3B0A7" w14:textId="77777777" w:rsidR="001028DA" w:rsidRDefault="001028DA" w:rsidP="001028DA">
      <w:pPr>
        <w:pStyle w:val="1"/>
      </w:pPr>
      <w:bookmarkStart w:id="12" w:name="_Toc181868500"/>
      <w:r>
        <w:t>Основные выводы</w:t>
      </w:r>
      <w:bookmarkEnd w:id="12"/>
    </w:p>
    <w:p w14:paraId="0D0351B9" w14:textId="72200AD2" w:rsidR="005D7A31" w:rsidRDefault="005D7A31" w:rsidP="005D7A31">
      <w:pPr>
        <w:pStyle w:val="a3"/>
      </w:pPr>
      <w:r>
        <w:t>В современных условиях</w:t>
      </w:r>
      <w:r w:rsidR="00FF5691">
        <w:t>, характеризующихся прежде всего усложнением ресурсной базы и сокращением возможностей поставок газа на внешние рынки,</w:t>
      </w:r>
      <w:r>
        <w:t xml:space="preserve"> государственн</w:t>
      </w:r>
      <w:r w:rsidRPr="00530E7E">
        <w:t xml:space="preserve">ое </w:t>
      </w:r>
      <w:r>
        <w:t>рег</w:t>
      </w:r>
      <w:r w:rsidRPr="00530E7E">
        <w:t>улирование</w:t>
      </w:r>
      <w:r>
        <w:t xml:space="preserve"> в газовой отрасли должно быть акцентирова</w:t>
      </w:r>
      <w:r w:rsidRPr="00530E7E">
        <w:t>но на стимулировани</w:t>
      </w:r>
      <w:r>
        <w:t>и</w:t>
      </w:r>
      <w:r w:rsidRPr="00530E7E">
        <w:t xml:space="preserve"> высокотехнологичных проектов. </w:t>
      </w:r>
      <w:r>
        <w:t>Это касается, прежде всего,</w:t>
      </w:r>
      <w:r w:rsidRPr="00530E7E">
        <w:t xml:space="preserve"> </w:t>
      </w:r>
      <w:r w:rsidR="007666CF">
        <w:t xml:space="preserve">проектов </w:t>
      </w:r>
      <w:r w:rsidR="00D32B66">
        <w:t>производства СПГ,</w:t>
      </w:r>
      <w:r w:rsidR="00D32B66" w:rsidRPr="00530E7E">
        <w:t xml:space="preserve"> </w:t>
      </w:r>
      <w:r w:rsidRPr="00530E7E">
        <w:t xml:space="preserve">разработки </w:t>
      </w:r>
      <w:r w:rsidR="00AA06E1">
        <w:t xml:space="preserve">ТРИЗ </w:t>
      </w:r>
      <w:r>
        <w:t>с</w:t>
      </w:r>
      <w:r w:rsidRPr="00530E7E">
        <w:t xml:space="preserve"> использовани</w:t>
      </w:r>
      <w:r>
        <w:t>ем</w:t>
      </w:r>
      <w:r w:rsidRPr="00530E7E">
        <w:t xml:space="preserve"> синергии </w:t>
      </w:r>
      <w:r w:rsidR="00C22BB1">
        <w:t>с</w:t>
      </w:r>
      <w:r w:rsidRPr="00530E7E">
        <w:t xml:space="preserve"> существующей газовой инфраструктур</w:t>
      </w:r>
      <w:r w:rsidR="00C22BB1">
        <w:t>ой</w:t>
      </w:r>
      <w:r>
        <w:t>.</w:t>
      </w:r>
      <w:r w:rsidR="00107FD1">
        <w:t xml:space="preserve"> Механизмы налогового стимулирования могут существенно повысить привлекательность проектов производства ВТ-газа для потенциальных инвесторов.</w:t>
      </w:r>
      <w:r w:rsidRPr="005D7A31">
        <w:rPr>
          <w:color w:val="0000FF"/>
        </w:rPr>
        <w:t xml:space="preserve"> </w:t>
      </w:r>
      <w:r w:rsidRPr="00C22BB1">
        <w:t xml:space="preserve">При этом </w:t>
      </w:r>
      <w:r w:rsidR="007E3546" w:rsidRPr="007E3546">
        <w:rPr>
          <w:color w:val="0000FF"/>
        </w:rPr>
        <w:t>рассматриваемые механизмы стимулирования</w:t>
      </w:r>
      <w:r w:rsidRPr="007E3546">
        <w:rPr>
          <w:color w:val="0000FF"/>
        </w:rPr>
        <w:t xml:space="preserve"> </w:t>
      </w:r>
      <w:r w:rsidRPr="00C22BB1">
        <w:t xml:space="preserve">создают только финансово-экономические предпосылки для производства ВТ-газа, </w:t>
      </w:r>
      <w:r w:rsidR="00F419D3">
        <w:t xml:space="preserve">но </w:t>
      </w:r>
      <w:r w:rsidRPr="00C22BB1">
        <w:t xml:space="preserve">не менее важна и </w:t>
      </w:r>
      <w:r w:rsidR="00D32B66" w:rsidRPr="00C22BB1">
        <w:t>«</w:t>
      </w:r>
      <w:r w:rsidRPr="00C22BB1">
        <w:t>материальная</w:t>
      </w:r>
      <w:r w:rsidR="00D32B66" w:rsidRPr="00C22BB1">
        <w:t>»</w:t>
      </w:r>
      <w:r w:rsidRPr="00C22BB1">
        <w:t xml:space="preserve"> составляющая – </w:t>
      </w:r>
      <w:r w:rsidR="00107FD1" w:rsidRPr="00C22BB1">
        <w:t>наличие требуем</w:t>
      </w:r>
      <w:r w:rsidR="00A16B43">
        <w:t>ых технологий,</w:t>
      </w:r>
      <w:r w:rsidR="00107FD1" w:rsidRPr="00C22BB1">
        <w:t xml:space="preserve"> </w:t>
      </w:r>
      <w:r w:rsidRPr="00C22BB1">
        <w:t>наукоемко</w:t>
      </w:r>
      <w:r w:rsidR="00107FD1" w:rsidRPr="00C22BB1">
        <w:t>го</w:t>
      </w:r>
      <w:r w:rsidRPr="00C22BB1">
        <w:t xml:space="preserve"> оборудовани</w:t>
      </w:r>
      <w:r w:rsidR="00107FD1" w:rsidRPr="00C22BB1">
        <w:t>я</w:t>
      </w:r>
      <w:r w:rsidR="00A16B43">
        <w:t>,</w:t>
      </w:r>
      <w:r w:rsidRPr="00C22BB1">
        <w:t xml:space="preserve"> высокотехнологичн</w:t>
      </w:r>
      <w:r w:rsidR="00107FD1" w:rsidRPr="00C22BB1">
        <w:t>ого</w:t>
      </w:r>
      <w:r w:rsidRPr="00C22BB1">
        <w:t xml:space="preserve"> </w:t>
      </w:r>
      <w:r w:rsidR="00A16B43">
        <w:t xml:space="preserve">нефтегазового </w:t>
      </w:r>
      <w:r w:rsidRPr="00C22BB1">
        <w:t>сервис</w:t>
      </w:r>
      <w:r w:rsidR="00107FD1" w:rsidRPr="00C22BB1">
        <w:t>а.</w:t>
      </w:r>
      <w:r w:rsidR="00FF5691">
        <w:t xml:space="preserve"> </w:t>
      </w:r>
    </w:p>
    <w:p w14:paraId="24F4E17A" w14:textId="1C4B8B83" w:rsidR="00D32B66" w:rsidRDefault="00F419D3" w:rsidP="00D32B66">
      <w:pPr>
        <w:pStyle w:val="a3"/>
      </w:pPr>
      <w:r>
        <w:rPr>
          <w:szCs w:val="28"/>
        </w:rPr>
        <w:t>У</w:t>
      </w:r>
      <w:r w:rsidR="00B92171" w:rsidRPr="00B12E8C">
        <w:rPr>
          <w:iCs/>
        </w:rPr>
        <w:t xml:space="preserve">ровень обеспечения отечественным оборудованием для добычи </w:t>
      </w:r>
      <w:r w:rsidR="00EF7ACF">
        <w:rPr>
          <w:iCs/>
        </w:rPr>
        <w:t xml:space="preserve">и производства </w:t>
      </w:r>
      <w:r>
        <w:rPr>
          <w:iCs/>
        </w:rPr>
        <w:t xml:space="preserve">высокотехнологичного </w:t>
      </w:r>
      <w:r w:rsidR="00EF7ACF">
        <w:rPr>
          <w:iCs/>
        </w:rPr>
        <w:t>газа</w:t>
      </w:r>
      <w:r w:rsidR="00B92171" w:rsidRPr="00B12E8C">
        <w:rPr>
          <w:iCs/>
        </w:rPr>
        <w:t xml:space="preserve"> </w:t>
      </w:r>
      <w:r>
        <w:rPr>
          <w:iCs/>
        </w:rPr>
        <w:t xml:space="preserve">настоятельно </w:t>
      </w:r>
      <w:r w:rsidR="00EF7ACF">
        <w:rPr>
          <w:iCs/>
        </w:rPr>
        <w:t>требует</w:t>
      </w:r>
      <w:r>
        <w:rPr>
          <w:iCs/>
        </w:rPr>
        <w:t xml:space="preserve"> </w:t>
      </w:r>
      <w:r w:rsidR="00FF5691" w:rsidRPr="00A842A9">
        <w:rPr>
          <w:szCs w:val="28"/>
        </w:rPr>
        <w:t>расширени</w:t>
      </w:r>
      <w:r w:rsidR="00EF7ACF">
        <w:rPr>
          <w:szCs w:val="28"/>
        </w:rPr>
        <w:t>я</w:t>
      </w:r>
      <w:r w:rsidR="00FF5691" w:rsidRPr="00A842A9">
        <w:rPr>
          <w:szCs w:val="28"/>
        </w:rPr>
        <w:t xml:space="preserve"> и усилени</w:t>
      </w:r>
      <w:r w:rsidR="001C64A3">
        <w:rPr>
          <w:szCs w:val="28"/>
        </w:rPr>
        <w:t>я</w:t>
      </w:r>
      <w:r w:rsidR="00FF5691" w:rsidRPr="00A842A9">
        <w:rPr>
          <w:szCs w:val="28"/>
        </w:rPr>
        <w:t xml:space="preserve"> механизмов индикативного планирования </w:t>
      </w:r>
      <w:r w:rsidR="00142BB0">
        <w:rPr>
          <w:szCs w:val="28"/>
        </w:rPr>
        <w:t xml:space="preserve">на основе формирования пространственно-распределенных цепочек создания </w:t>
      </w:r>
      <w:r w:rsidR="00D91131">
        <w:rPr>
          <w:szCs w:val="28"/>
        </w:rPr>
        <w:t>добавленной стоимости</w:t>
      </w:r>
      <w:r w:rsidR="00FF5691" w:rsidRPr="00A842A9">
        <w:rPr>
          <w:szCs w:val="28"/>
        </w:rPr>
        <w:t>.</w:t>
      </w:r>
      <w:r w:rsidR="001C64A3">
        <w:rPr>
          <w:szCs w:val="28"/>
        </w:rPr>
        <w:t xml:space="preserve"> </w:t>
      </w:r>
      <w:r>
        <w:t>Произ</w:t>
      </w:r>
      <w:r w:rsidR="001028DA">
        <w:t>водство</w:t>
      </w:r>
      <w:r w:rsidR="00AE4FAE" w:rsidRPr="009A708B">
        <w:t xml:space="preserve"> высокотехнологичн</w:t>
      </w:r>
      <w:r w:rsidR="001028DA">
        <w:t>ого</w:t>
      </w:r>
      <w:r w:rsidR="00AE4FAE" w:rsidRPr="009A708B">
        <w:t xml:space="preserve"> </w:t>
      </w:r>
      <w:r w:rsidR="001028DA">
        <w:t>газа</w:t>
      </w:r>
      <w:r w:rsidR="00AE4FAE" w:rsidRPr="009A708B">
        <w:t xml:space="preserve"> </w:t>
      </w:r>
      <w:r>
        <w:t>имеет все основания стать одним их дра</w:t>
      </w:r>
      <w:r w:rsidR="00D91131">
        <w:t>й</w:t>
      </w:r>
      <w:r>
        <w:t xml:space="preserve">веров </w:t>
      </w:r>
      <w:r w:rsidR="00AE4FAE" w:rsidRPr="009A708B">
        <w:t>экономическ</w:t>
      </w:r>
      <w:r w:rsidR="00AE4FAE">
        <w:t>о</w:t>
      </w:r>
      <w:r>
        <w:t>го</w:t>
      </w:r>
      <w:r w:rsidR="00AE4FAE" w:rsidRPr="009A708B">
        <w:t xml:space="preserve"> рост</w:t>
      </w:r>
      <w:r>
        <w:t>а</w:t>
      </w:r>
      <w:r w:rsidR="00C22BB1">
        <w:t>,</w:t>
      </w:r>
      <w:r w:rsidR="00AE4FAE" w:rsidRPr="009A708B">
        <w:t xml:space="preserve"> </w:t>
      </w:r>
      <w:r w:rsidR="00AE4FAE">
        <w:t>социально-экономическо</w:t>
      </w:r>
      <w:r>
        <w:t>го</w:t>
      </w:r>
      <w:r w:rsidR="00AE4FAE">
        <w:t xml:space="preserve"> развити</w:t>
      </w:r>
      <w:r>
        <w:t>я</w:t>
      </w:r>
      <w:r w:rsidR="00AE4FAE">
        <w:t xml:space="preserve"> субъектов Федерации, вовлеченных в эти процессы – как ресурсных территорий, где ведется добыча углеводородного сырья, так и регионов-поставщиков высокотехнологичного оборудования и наукоемких услуг.</w:t>
      </w:r>
      <w:r w:rsidR="00D32B66">
        <w:t xml:space="preserve"> </w:t>
      </w:r>
      <w:r w:rsidR="00D32B66" w:rsidRPr="009A708B">
        <w:t xml:space="preserve">Развитие высокотехнологичных производств </w:t>
      </w:r>
      <w:r w:rsidR="00D32B66">
        <w:t xml:space="preserve">(в данном случае – ВТ-газа) </w:t>
      </w:r>
      <w:r w:rsidR="00FF5691">
        <w:t xml:space="preserve">будет способствовать решению </w:t>
      </w:r>
      <w:r w:rsidR="00D32B66">
        <w:t>целого ряда</w:t>
      </w:r>
      <w:r w:rsidR="00D32B66" w:rsidRPr="009A708B">
        <w:t xml:space="preserve"> критически важных </w:t>
      </w:r>
      <w:r w:rsidR="00FF5691">
        <w:t>задач</w:t>
      </w:r>
      <w:r w:rsidR="00D32B66" w:rsidRPr="009A708B">
        <w:t>:</w:t>
      </w:r>
      <w:r w:rsidR="00FF5691">
        <w:t xml:space="preserve"> </w:t>
      </w:r>
      <w:r w:rsidR="00D32B66">
        <w:t>у</w:t>
      </w:r>
      <w:r w:rsidR="00D32B66" w:rsidRPr="009A708B">
        <w:t xml:space="preserve">величение </w:t>
      </w:r>
      <w:r w:rsidR="00D32B66">
        <w:t>инвестиций в производство</w:t>
      </w:r>
      <w:r w:rsidR="00D32B66" w:rsidRPr="009A708B">
        <w:t>;</w:t>
      </w:r>
      <w:r w:rsidR="00940610">
        <w:t xml:space="preserve"> </w:t>
      </w:r>
      <w:r w:rsidR="00D32B66">
        <w:t>р</w:t>
      </w:r>
      <w:r w:rsidR="00D32B66" w:rsidRPr="009A708B">
        <w:t>азработка</w:t>
      </w:r>
      <w:r w:rsidR="00D32B66">
        <w:t>,</w:t>
      </w:r>
      <w:r w:rsidR="00D32B66" w:rsidRPr="009A708B">
        <w:t xml:space="preserve"> внедрение </w:t>
      </w:r>
      <w:r w:rsidR="00D32B66">
        <w:t xml:space="preserve">и тиражирование </w:t>
      </w:r>
      <w:r w:rsidR="00D32B66" w:rsidRPr="009A708B">
        <w:t xml:space="preserve">современных </w:t>
      </w:r>
      <w:r w:rsidR="00D32B66">
        <w:t xml:space="preserve">наукоемких </w:t>
      </w:r>
      <w:r w:rsidR="00D32B66" w:rsidRPr="009A708B">
        <w:t>технологи</w:t>
      </w:r>
      <w:r w:rsidR="00D32B66">
        <w:t>й</w:t>
      </w:r>
      <w:r w:rsidR="00D32B66" w:rsidRPr="009A708B">
        <w:t>;</w:t>
      </w:r>
      <w:r w:rsidR="00940610">
        <w:t xml:space="preserve"> </w:t>
      </w:r>
      <w:r w:rsidR="00D24F5B">
        <w:t>рациональное освоение недр;</w:t>
      </w:r>
      <w:r w:rsidR="00940610">
        <w:t xml:space="preserve"> </w:t>
      </w:r>
      <w:r w:rsidR="00D32B66">
        <w:t>поддержание и прирост</w:t>
      </w:r>
      <w:r w:rsidR="00D32B66" w:rsidRPr="009A708B">
        <w:t xml:space="preserve"> занятости населения, в первую очередь </w:t>
      </w:r>
      <w:r w:rsidR="00D32B66">
        <w:t xml:space="preserve">за счет </w:t>
      </w:r>
      <w:r w:rsidR="00D32B66" w:rsidRPr="009A708B">
        <w:lastRenderedPageBreak/>
        <w:t>высококвалифицированной рабочей силы;</w:t>
      </w:r>
      <w:r w:rsidR="00940610">
        <w:t xml:space="preserve"> </w:t>
      </w:r>
      <w:r w:rsidR="00D32B66" w:rsidRPr="009A708B">
        <w:t>увеличение налоговых поступлени</w:t>
      </w:r>
      <w:r w:rsidR="00D32B66">
        <w:t>й</w:t>
      </w:r>
      <w:r w:rsidR="00D32B66" w:rsidRPr="009A708B">
        <w:t xml:space="preserve"> бюджет</w:t>
      </w:r>
      <w:r w:rsidR="00940610">
        <w:t>ов</w:t>
      </w:r>
      <w:r w:rsidR="00C22BB1" w:rsidRPr="00C22BB1">
        <w:t xml:space="preserve"> </w:t>
      </w:r>
      <w:r w:rsidR="00C22BB1">
        <w:t>в</w:t>
      </w:r>
      <w:r w:rsidR="00C22BB1" w:rsidRPr="009A708B">
        <w:t xml:space="preserve"> долгосрочном пе</w:t>
      </w:r>
      <w:r w:rsidR="00C22BB1">
        <w:t>риоде</w:t>
      </w:r>
      <w:r w:rsidR="00D32B66" w:rsidRPr="009A708B">
        <w:t>.</w:t>
      </w:r>
    </w:p>
    <w:p w14:paraId="42AADBFC" w14:textId="7654F894" w:rsidR="00CD4FE7" w:rsidRDefault="00F419D3" w:rsidP="00CD4FE7">
      <w:pPr>
        <w:pStyle w:val="a3"/>
        <w:rPr>
          <w:szCs w:val="28"/>
        </w:rPr>
      </w:pPr>
      <w:bookmarkStart w:id="13" w:name="_Hlk169358118"/>
      <w:r>
        <w:rPr>
          <w:szCs w:val="28"/>
        </w:rPr>
        <w:t>В основе п</w:t>
      </w:r>
      <w:r w:rsidR="00CD4FE7" w:rsidRPr="00D32B66">
        <w:rPr>
          <w:szCs w:val="28"/>
        </w:rPr>
        <w:t>олитик</w:t>
      </w:r>
      <w:r>
        <w:rPr>
          <w:szCs w:val="28"/>
        </w:rPr>
        <w:t>и</w:t>
      </w:r>
      <w:r w:rsidR="00CD4FE7" w:rsidRPr="00D32B66">
        <w:rPr>
          <w:szCs w:val="28"/>
        </w:rPr>
        <w:t xml:space="preserve"> научно-технологического обеспечения и стимулирования производства ВТ-газа </w:t>
      </w:r>
      <w:r w:rsidR="000E00A4">
        <w:rPr>
          <w:szCs w:val="28"/>
        </w:rPr>
        <w:t>должно быть</w:t>
      </w:r>
      <w:r>
        <w:rPr>
          <w:szCs w:val="28"/>
        </w:rPr>
        <w:t xml:space="preserve"> </w:t>
      </w:r>
      <w:r w:rsidR="00CD4FE7" w:rsidRPr="00D32B66">
        <w:rPr>
          <w:szCs w:val="28"/>
        </w:rPr>
        <w:t>тесно</w:t>
      </w:r>
      <w:r>
        <w:rPr>
          <w:szCs w:val="28"/>
        </w:rPr>
        <w:t>е</w:t>
      </w:r>
      <w:r w:rsidR="00CD4FE7" w:rsidRPr="00D32B66">
        <w:rPr>
          <w:szCs w:val="28"/>
        </w:rPr>
        <w:t xml:space="preserve"> взаимодействи</w:t>
      </w:r>
      <w:r w:rsidR="000E00A4">
        <w:rPr>
          <w:szCs w:val="28"/>
        </w:rPr>
        <w:t>е</w:t>
      </w:r>
      <w:r w:rsidR="00CD4FE7" w:rsidRPr="00D32B66">
        <w:rPr>
          <w:szCs w:val="28"/>
        </w:rPr>
        <w:t xml:space="preserve"> органов власти федерального и регионального </w:t>
      </w:r>
      <w:r w:rsidR="00CD4FE7" w:rsidRPr="00A842A9">
        <w:rPr>
          <w:szCs w:val="28"/>
        </w:rPr>
        <w:t xml:space="preserve">уровней, компаний газового сектора экономики, </w:t>
      </w:r>
      <w:r w:rsidR="00D24F5B">
        <w:rPr>
          <w:szCs w:val="28"/>
        </w:rPr>
        <w:t xml:space="preserve">нефтегазового машиностроения и сервиса, </w:t>
      </w:r>
      <w:r w:rsidR="00CD4FE7" w:rsidRPr="00A842A9">
        <w:rPr>
          <w:szCs w:val="28"/>
        </w:rPr>
        <w:t>экспертного сообщества (</w:t>
      </w:r>
      <w:r w:rsidR="008E6F2D" w:rsidRPr="00A842A9">
        <w:rPr>
          <w:szCs w:val="28"/>
        </w:rPr>
        <w:t xml:space="preserve">экспертов из научных учреждений и вузов, </w:t>
      </w:r>
      <w:r w:rsidR="00CD4FE7" w:rsidRPr="00A842A9">
        <w:rPr>
          <w:szCs w:val="28"/>
        </w:rPr>
        <w:t xml:space="preserve">независимых ассоциаций и союзов). В законодательном </w:t>
      </w:r>
      <w:r w:rsidR="00CD4FE7" w:rsidRPr="00D32B66">
        <w:rPr>
          <w:szCs w:val="28"/>
        </w:rPr>
        <w:t xml:space="preserve">обеспечении мер поддержки отрасли важную роль </w:t>
      </w:r>
      <w:r>
        <w:rPr>
          <w:szCs w:val="28"/>
        </w:rPr>
        <w:t xml:space="preserve">призваны </w:t>
      </w:r>
      <w:r w:rsidR="00CD4FE7" w:rsidRPr="00D32B66">
        <w:rPr>
          <w:szCs w:val="28"/>
        </w:rPr>
        <w:t>играть не только федеральные министерства, но и независимые ассоциации и союзы, региональные органы власти.</w:t>
      </w:r>
    </w:p>
    <w:p w14:paraId="34D13410" w14:textId="77777777" w:rsidR="00746BE5" w:rsidRDefault="00746BE5" w:rsidP="00CD4FE7">
      <w:pPr>
        <w:pStyle w:val="a3"/>
        <w:rPr>
          <w:szCs w:val="28"/>
        </w:rPr>
      </w:pPr>
    </w:p>
    <w:p w14:paraId="5B617319" w14:textId="77777777" w:rsidR="00746BE5" w:rsidRPr="00746BE5" w:rsidRDefault="00746BE5" w:rsidP="00746BE5">
      <w:pPr>
        <w:pStyle w:val="a3"/>
        <w:rPr>
          <w:b/>
          <w:szCs w:val="28"/>
        </w:rPr>
      </w:pPr>
      <w:r w:rsidRPr="00746BE5">
        <w:rPr>
          <w:b/>
          <w:szCs w:val="28"/>
        </w:rPr>
        <w:t>Финансирование/Благодарности</w:t>
      </w:r>
    </w:p>
    <w:p w14:paraId="3168A999" w14:textId="53D1CAD7" w:rsidR="001C64A3" w:rsidRDefault="00746BE5" w:rsidP="00746BE5">
      <w:pPr>
        <w:pStyle w:val="a3"/>
        <w:rPr>
          <w:szCs w:val="28"/>
        </w:rPr>
      </w:pPr>
      <w:r w:rsidRPr="00746BE5">
        <w:rPr>
          <w:szCs w:val="28"/>
        </w:rPr>
        <w:t xml:space="preserve">Статья подготовлена по плану НИР ИЭОПП СО РАН, Проект 5.6.3.2. (FWZF-2024-0001) </w:t>
      </w:r>
      <w:r w:rsidR="00735D4D">
        <w:rPr>
          <w:szCs w:val="28"/>
        </w:rPr>
        <w:t>«</w:t>
      </w:r>
      <w:r w:rsidRPr="00746BE5">
        <w:rPr>
          <w:szCs w:val="28"/>
        </w:rPr>
        <w:t>Экспертно-аналитические, организационные и методические составляющие системы индикативного планирования научно-технологического и сбалансированного пространственного развития России при реализации крупных инвестиционных проектов</w:t>
      </w:r>
      <w:r w:rsidR="00735D4D">
        <w:rPr>
          <w:szCs w:val="28"/>
        </w:rPr>
        <w:t>»</w:t>
      </w:r>
      <w:r w:rsidRPr="00746BE5">
        <w:rPr>
          <w:szCs w:val="28"/>
        </w:rPr>
        <w:t>.</w:t>
      </w:r>
    </w:p>
    <w:p w14:paraId="06A13040" w14:textId="77777777" w:rsidR="00746BE5" w:rsidRDefault="00746BE5" w:rsidP="00CD4FE7">
      <w:pPr>
        <w:pStyle w:val="a3"/>
        <w:rPr>
          <w:szCs w:val="28"/>
        </w:rPr>
      </w:pPr>
    </w:p>
    <w:p w14:paraId="207F6564" w14:textId="3A225700" w:rsidR="005F5C4F" w:rsidRPr="001F08C5" w:rsidRDefault="005F5C4F" w:rsidP="001F08C5">
      <w:pPr>
        <w:pStyle w:val="1"/>
      </w:pPr>
      <w:bookmarkStart w:id="14" w:name="_Toc181868501"/>
      <w:r>
        <w:t>Литература</w:t>
      </w:r>
      <w:bookmarkEnd w:id="14"/>
    </w:p>
    <w:bookmarkEnd w:id="13"/>
    <w:p w14:paraId="4652559E" w14:textId="46806C0B" w:rsidR="00821644" w:rsidRDefault="00821644" w:rsidP="00915CEC">
      <w:pPr>
        <w:pStyle w:val="a3"/>
      </w:pPr>
      <w:r w:rsidRPr="00821644">
        <w:t xml:space="preserve">Брехунцов А.М., Нестеров И.И. (мл.), Грамматчикова Е.Г. (2023). Состояние и анализ развития ресурсной базы углеводородного сырья Ямало-Ненецкого автономного округа и шельфа Карского моря. </w:t>
      </w:r>
      <w:r w:rsidRPr="00DF183D">
        <w:rPr>
          <w:i/>
          <w:iCs/>
        </w:rPr>
        <w:t>Георесурсы</w:t>
      </w:r>
      <w:r w:rsidRPr="00821644">
        <w:t>, 25(1), c. 15–23. https://doi.org/10.18599/grs.2023.1.2.</w:t>
      </w:r>
    </w:p>
    <w:p w14:paraId="0B67DD11" w14:textId="0AE45CE1" w:rsidR="00583C9A" w:rsidRDefault="00583C9A" w:rsidP="00583C9A">
      <w:pPr>
        <w:pStyle w:val="a3"/>
      </w:pPr>
      <w:r>
        <w:t>Васильев</w:t>
      </w:r>
      <w:r w:rsidRPr="00583C9A">
        <w:t xml:space="preserve"> </w:t>
      </w:r>
      <w:r>
        <w:t>А</w:t>
      </w:r>
      <w:r w:rsidRPr="00583C9A">
        <w:t>.</w:t>
      </w:r>
      <w:r>
        <w:t>А</w:t>
      </w:r>
      <w:r w:rsidRPr="00583C9A">
        <w:t xml:space="preserve">. (2024). </w:t>
      </w:r>
      <w:r>
        <w:t>Нефтегазовый</w:t>
      </w:r>
      <w:r w:rsidRPr="00583C9A">
        <w:t xml:space="preserve"> </w:t>
      </w:r>
      <w:r>
        <w:t>кластер</w:t>
      </w:r>
      <w:r w:rsidRPr="00583C9A">
        <w:t xml:space="preserve"> </w:t>
      </w:r>
      <w:r>
        <w:t>как</w:t>
      </w:r>
      <w:r w:rsidRPr="00583C9A">
        <w:t xml:space="preserve"> </w:t>
      </w:r>
      <w:r>
        <w:t xml:space="preserve">драйвер развития Тюменской области. </w:t>
      </w:r>
      <w:r w:rsidRPr="00DF183D">
        <w:rPr>
          <w:i/>
          <w:iCs/>
        </w:rPr>
        <w:t>ЭКО</w:t>
      </w:r>
      <w:r w:rsidRPr="00583C9A">
        <w:t xml:space="preserve">, </w:t>
      </w:r>
      <w:r>
        <w:t>2</w:t>
      </w:r>
      <w:r w:rsidRPr="00583C9A">
        <w:t xml:space="preserve">, </w:t>
      </w:r>
      <w:r>
        <w:rPr>
          <w:lang w:val="en-US"/>
        </w:rPr>
        <w:t>c</w:t>
      </w:r>
      <w:r>
        <w:t xml:space="preserve">. 47–60. </w:t>
      </w:r>
      <w:r w:rsidRPr="00821644">
        <w:t>https://doi.org/</w:t>
      </w:r>
      <w:r>
        <w:t>10.30680/ECO0131-7652-2024-2-47-60.</w:t>
      </w:r>
    </w:p>
    <w:p w14:paraId="67C0BACF" w14:textId="463F1DD8" w:rsidR="006657F2" w:rsidRPr="00276658" w:rsidRDefault="006657F2" w:rsidP="006657F2">
      <w:pPr>
        <w:pStyle w:val="a3"/>
        <w:rPr>
          <w:color w:val="0000FF"/>
        </w:rPr>
      </w:pPr>
      <w:r>
        <w:t xml:space="preserve">Государственный доклад «О состоянии и использовании минерально-сырьевых ресурсов Российской Федерации </w:t>
      </w:r>
      <w:r w:rsidRPr="00276658">
        <w:rPr>
          <w:color w:val="0000FF"/>
        </w:rPr>
        <w:t>в 202</w:t>
      </w:r>
      <w:r w:rsidR="00276658" w:rsidRPr="00276658">
        <w:rPr>
          <w:color w:val="0000FF"/>
        </w:rPr>
        <w:t>3</w:t>
      </w:r>
      <w:r w:rsidRPr="00276658">
        <w:rPr>
          <w:color w:val="0000FF"/>
        </w:rPr>
        <w:t xml:space="preserve"> году». </w:t>
      </w:r>
      <w:r w:rsidR="00DF183D" w:rsidRPr="00276658">
        <w:rPr>
          <w:color w:val="0000FF"/>
        </w:rPr>
        <w:t>(202</w:t>
      </w:r>
      <w:r w:rsidR="00276658" w:rsidRPr="00276658">
        <w:rPr>
          <w:color w:val="0000FF"/>
        </w:rPr>
        <w:t>4</w:t>
      </w:r>
      <w:r w:rsidR="00DF183D" w:rsidRPr="00276658">
        <w:rPr>
          <w:color w:val="0000FF"/>
        </w:rPr>
        <w:t>).</w:t>
      </w:r>
      <w:r w:rsidRPr="00276658">
        <w:rPr>
          <w:color w:val="0000FF"/>
        </w:rPr>
        <w:t xml:space="preserve"> М.: МПРЭ</w:t>
      </w:r>
      <w:r w:rsidR="00DF183D" w:rsidRPr="00276658">
        <w:rPr>
          <w:color w:val="0000FF"/>
        </w:rPr>
        <w:t>,</w:t>
      </w:r>
      <w:r w:rsidRPr="00276658">
        <w:rPr>
          <w:color w:val="0000FF"/>
        </w:rPr>
        <w:t xml:space="preserve"> </w:t>
      </w:r>
      <w:r w:rsidR="00276658">
        <w:rPr>
          <w:color w:val="0000FF"/>
        </w:rPr>
        <w:t>716</w:t>
      </w:r>
      <w:r w:rsidRPr="00276658">
        <w:rPr>
          <w:color w:val="0000FF"/>
        </w:rPr>
        <w:t xml:space="preserve"> с.</w:t>
      </w:r>
    </w:p>
    <w:p w14:paraId="291B219D" w14:textId="4AC4017D" w:rsidR="00DD2F87" w:rsidRDefault="00DD2F87" w:rsidP="00DD2F87">
      <w:pPr>
        <w:ind w:left="57" w:right="57"/>
        <w:rPr>
          <w:color w:val="0000FF"/>
        </w:rPr>
      </w:pPr>
      <w:r w:rsidRPr="00DD2F87">
        <w:rPr>
          <w:color w:val="0000FF"/>
        </w:rPr>
        <w:t>Дубовицкая Е.А., Чижиков С.В. (2021). Анализ эффективности технико-экономического моделирования на этапе предпроектной оценки капитальных вложений в нефтегазовой отрасли</w:t>
      </w:r>
      <w:r>
        <w:rPr>
          <w:color w:val="0000FF"/>
        </w:rPr>
        <w:t>.</w:t>
      </w:r>
      <w:r w:rsidRPr="00DD2F87">
        <w:rPr>
          <w:color w:val="0000FF"/>
        </w:rPr>
        <w:t xml:space="preserve"> </w:t>
      </w:r>
      <w:r w:rsidRPr="00DF183D">
        <w:rPr>
          <w:i/>
          <w:iCs/>
          <w:color w:val="0000FF"/>
        </w:rPr>
        <w:t>Нефтяное хозяйство</w:t>
      </w:r>
      <w:r w:rsidRPr="00DD2F87">
        <w:rPr>
          <w:color w:val="0000FF"/>
        </w:rPr>
        <w:t>, 4, с. 10</w:t>
      </w:r>
      <w:r w:rsidRPr="00DD2F87">
        <w:rPr>
          <w:color w:val="0000FF"/>
          <w:szCs w:val="24"/>
        </w:rPr>
        <w:t>–</w:t>
      </w:r>
      <w:r w:rsidRPr="00DD2F87">
        <w:rPr>
          <w:color w:val="0000FF"/>
        </w:rPr>
        <w:t>16.</w:t>
      </w:r>
    </w:p>
    <w:p w14:paraId="10E5497F" w14:textId="288175EC" w:rsidR="00DD2F87" w:rsidRDefault="00DD2F87" w:rsidP="00DD2F87">
      <w:pPr>
        <w:pStyle w:val="a3"/>
        <w:ind w:firstLine="708"/>
        <w:rPr>
          <w:color w:val="0000FF"/>
          <w:szCs w:val="24"/>
        </w:rPr>
      </w:pPr>
      <w:r w:rsidRPr="00DD2F87">
        <w:rPr>
          <w:color w:val="0000FF"/>
        </w:rPr>
        <w:t>Дубовицкая Е.А., Чижиков С.В., Ткаченко Т.А. (</w:t>
      </w:r>
      <w:r w:rsidRPr="00DD2F87">
        <w:rPr>
          <w:color w:val="0000FF"/>
          <w:szCs w:val="24"/>
        </w:rPr>
        <w:t>2017). Стоимостное моделирование: инструмент учета изменений</w:t>
      </w:r>
      <w:r>
        <w:rPr>
          <w:color w:val="0000FF"/>
          <w:szCs w:val="24"/>
        </w:rPr>
        <w:t>.</w:t>
      </w:r>
      <w:r w:rsidRPr="00DD2F87">
        <w:rPr>
          <w:color w:val="0000FF"/>
          <w:szCs w:val="24"/>
        </w:rPr>
        <w:t xml:space="preserve"> </w:t>
      </w:r>
      <w:r w:rsidRPr="00DF183D">
        <w:rPr>
          <w:i/>
          <w:iCs/>
          <w:color w:val="0000FF"/>
          <w:szCs w:val="24"/>
        </w:rPr>
        <w:t>Нефтяное хозяйство</w:t>
      </w:r>
      <w:r w:rsidRPr="00DD2F87">
        <w:rPr>
          <w:color w:val="0000FF"/>
          <w:szCs w:val="24"/>
        </w:rPr>
        <w:t>, 10, с. 64–68.</w:t>
      </w:r>
    </w:p>
    <w:p w14:paraId="21174AC3" w14:textId="490F4715" w:rsidR="006657F2" w:rsidRDefault="006657F2" w:rsidP="006657F2">
      <w:pPr>
        <w:pStyle w:val="a3"/>
      </w:pPr>
      <w:r>
        <w:t xml:space="preserve">Жданеев О.В., Бравков П.В., Дурдыева А.А., Зуев С.С., Коренев В.В., Фролов К.Н., Чубоксаров В.С. </w:t>
      </w:r>
      <w:r w:rsidRPr="00B021D7">
        <w:t>(</w:t>
      </w:r>
      <w:r>
        <w:t>2020</w:t>
      </w:r>
      <w:r w:rsidRPr="00B021D7">
        <w:t>)</w:t>
      </w:r>
      <w:r>
        <w:t>.</w:t>
      </w:r>
      <w:r w:rsidRPr="00B021D7">
        <w:t xml:space="preserve"> </w:t>
      </w:r>
      <w:r>
        <w:t xml:space="preserve">Вопросы технической политики отраслей ТЭК Российской Федерации. М.: Наука, 304 c. </w:t>
      </w:r>
      <w:r w:rsidRPr="00821644">
        <w:t>https://doi.org/</w:t>
      </w:r>
      <w:r>
        <w:t>10.7868/9785020408241</w:t>
      </w:r>
    </w:p>
    <w:p w14:paraId="77E59467" w14:textId="4A13A13C" w:rsidR="00583C9A" w:rsidRDefault="00583C9A" w:rsidP="00583C9A">
      <w:pPr>
        <w:pStyle w:val="a3"/>
      </w:pPr>
      <w:r>
        <w:lastRenderedPageBreak/>
        <w:t xml:space="preserve">Жданеев О.В. </w:t>
      </w:r>
      <w:r w:rsidRPr="00923E2E">
        <w:t>(</w:t>
      </w:r>
      <w:r>
        <w:t>2020</w:t>
      </w:r>
      <w:r w:rsidRPr="00923E2E">
        <w:t>)</w:t>
      </w:r>
      <w:r>
        <w:t>.</w:t>
      </w:r>
      <w:r w:rsidRPr="00923E2E">
        <w:t xml:space="preserve"> </w:t>
      </w:r>
      <w:r>
        <w:t>Центр компетенций технологического развития ТЭК Российского энергетического агентства Минэнерго России</w:t>
      </w:r>
      <w:r w:rsidRPr="00923E2E">
        <w:t>.</w:t>
      </w:r>
      <w:r>
        <w:t xml:space="preserve"> </w:t>
      </w:r>
      <w:r w:rsidRPr="00DF183D">
        <w:rPr>
          <w:i/>
          <w:iCs/>
        </w:rPr>
        <w:t>Нефтяное хозяйство</w:t>
      </w:r>
      <w:r w:rsidRPr="00923E2E">
        <w:t>,</w:t>
      </w:r>
      <w:r>
        <w:t xml:space="preserve"> 8</w:t>
      </w:r>
      <w:r w:rsidRPr="00923E2E">
        <w:t>,</w:t>
      </w:r>
      <w:r>
        <w:t xml:space="preserve"> </w:t>
      </w:r>
      <w:r>
        <w:rPr>
          <w:lang w:val="en-US"/>
        </w:rPr>
        <w:t>c</w:t>
      </w:r>
      <w:r>
        <w:t>. 11.</w:t>
      </w:r>
    </w:p>
    <w:p w14:paraId="3D7B3AF7" w14:textId="365A62CA" w:rsidR="00583C9A" w:rsidRDefault="00583C9A" w:rsidP="00583C9A">
      <w:pPr>
        <w:pStyle w:val="a3"/>
      </w:pPr>
      <w:r>
        <w:t xml:space="preserve">Жданеев О.В. </w:t>
      </w:r>
      <w:r w:rsidRPr="00923E2E">
        <w:t>(</w:t>
      </w:r>
      <w:r>
        <w:t>2022</w:t>
      </w:r>
      <w:r w:rsidRPr="00923E2E">
        <w:t>)</w:t>
      </w:r>
      <w:r>
        <w:t>. Обеспечение технологического суверенитета отраслей ТЭК Российской Федерации</w:t>
      </w:r>
      <w:r w:rsidRPr="00923E2E">
        <w:t>.</w:t>
      </w:r>
      <w:r>
        <w:t xml:space="preserve"> </w:t>
      </w:r>
      <w:r w:rsidRPr="00DF183D">
        <w:rPr>
          <w:i/>
          <w:iCs/>
        </w:rPr>
        <w:t>Записки Горного института</w:t>
      </w:r>
      <w:r w:rsidRPr="00583C9A">
        <w:t xml:space="preserve">, 258, </w:t>
      </w:r>
      <w:r>
        <w:rPr>
          <w:lang w:val="en-US"/>
        </w:rPr>
        <w:t>c</w:t>
      </w:r>
      <w:r w:rsidRPr="00583C9A">
        <w:t xml:space="preserve">. 1061–1078. </w:t>
      </w:r>
      <w:r w:rsidRPr="00923E2E">
        <w:rPr>
          <w:lang w:val="en-US"/>
        </w:rPr>
        <w:t>https</w:t>
      </w:r>
      <w:r w:rsidRPr="00583C9A">
        <w:t>://</w:t>
      </w:r>
      <w:r w:rsidRPr="00923E2E">
        <w:rPr>
          <w:lang w:val="en-US"/>
        </w:rPr>
        <w:t>doi</w:t>
      </w:r>
      <w:r w:rsidRPr="00583C9A">
        <w:t>.</w:t>
      </w:r>
      <w:r w:rsidRPr="00923E2E">
        <w:rPr>
          <w:lang w:val="en-US"/>
        </w:rPr>
        <w:t>org</w:t>
      </w:r>
      <w:r w:rsidRPr="00583C9A">
        <w:t>/10.31897/</w:t>
      </w:r>
      <w:r w:rsidRPr="00923E2E">
        <w:rPr>
          <w:lang w:val="en-US"/>
        </w:rPr>
        <w:t>PMI</w:t>
      </w:r>
      <w:r w:rsidRPr="00583C9A">
        <w:t>.2022.107.</w:t>
      </w:r>
    </w:p>
    <w:p w14:paraId="5C27A183" w14:textId="2F7AB38A" w:rsidR="006657F2" w:rsidRPr="00BA666C" w:rsidRDefault="006657F2" w:rsidP="006657F2">
      <w:pPr>
        <w:pStyle w:val="a3"/>
      </w:pPr>
      <w:r>
        <w:t xml:space="preserve">Иванов Н.А., Пусенкова Н.Н., Соколов А.В. (2024). Добыча нефти и газа из сланцевых формаций в США: текущее состояние и прогнозы. </w:t>
      </w:r>
      <w:r w:rsidRPr="00DF183D">
        <w:rPr>
          <w:i/>
          <w:iCs/>
        </w:rPr>
        <w:t>Георесурсы</w:t>
      </w:r>
      <w:r w:rsidRPr="00BA666C">
        <w:t xml:space="preserve">, 26(3), </w:t>
      </w:r>
      <w:r w:rsidRPr="00915CEC">
        <w:rPr>
          <w:lang w:val="en-US"/>
        </w:rPr>
        <w:t>c</w:t>
      </w:r>
      <w:r w:rsidRPr="00BA666C">
        <w:t xml:space="preserve">. 240–249. </w:t>
      </w:r>
      <w:r w:rsidRPr="00915CEC">
        <w:rPr>
          <w:lang w:val="en-US"/>
        </w:rPr>
        <w:t>https</w:t>
      </w:r>
      <w:r w:rsidRPr="00BA666C">
        <w:t>://</w:t>
      </w:r>
      <w:r w:rsidRPr="00915CEC">
        <w:rPr>
          <w:lang w:val="en-US"/>
        </w:rPr>
        <w:t>doi</w:t>
      </w:r>
      <w:r w:rsidRPr="00BA666C">
        <w:t>.</w:t>
      </w:r>
      <w:r w:rsidRPr="00915CEC">
        <w:rPr>
          <w:lang w:val="en-US"/>
        </w:rPr>
        <w:t>org</w:t>
      </w:r>
      <w:r w:rsidRPr="00BA666C">
        <w:t>/10.18599/</w:t>
      </w:r>
      <w:r w:rsidRPr="00915CEC">
        <w:rPr>
          <w:lang w:val="en-US"/>
        </w:rPr>
        <w:t>grs</w:t>
      </w:r>
      <w:r w:rsidRPr="00BA666C">
        <w:t>.2024.3.24.</w:t>
      </w:r>
    </w:p>
    <w:p w14:paraId="2D3F2C1C" w14:textId="47EF00A2" w:rsidR="00B62E69" w:rsidRPr="00B62E69" w:rsidRDefault="00B62E69" w:rsidP="00B62E69">
      <w:pPr>
        <w:pStyle w:val="a3"/>
        <w:rPr>
          <w:color w:val="0000FF"/>
        </w:rPr>
      </w:pPr>
      <w:r w:rsidRPr="00B62E69">
        <w:rPr>
          <w:color w:val="0000FF"/>
          <w:szCs w:val="28"/>
        </w:rPr>
        <w:t xml:space="preserve">Конопляник А.А. (2023). Умный инвестрежим для прогресса ТЭК. К 30-летнему юбилею истории соглашений о разделе продукции в России: субъективный взгляд от первого лица. </w:t>
      </w:r>
      <w:r w:rsidRPr="00B62E69">
        <w:rPr>
          <w:i/>
          <w:iCs/>
          <w:color w:val="0000FF"/>
          <w:szCs w:val="28"/>
        </w:rPr>
        <w:t>Нефтегазовая</w:t>
      </w:r>
      <w:r w:rsidRPr="000B3722">
        <w:rPr>
          <w:i/>
          <w:iCs/>
          <w:color w:val="0000FF"/>
          <w:szCs w:val="28"/>
        </w:rPr>
        <w:t xml:space="preserve"> </w:t>
      </w:r>
      <w:r w:rsidRPr="00B62E69">
        <w:rPr>
          <w:i/>
          <w:iCs/>
          <w:color w:val="0000FF"/>
          <w:szCs w:val="28"/>
        </w:rPr>
        <w:t>вертикаль</w:t>
      </w:r>
      <w:r w:rsidRPr="000B3722">
        <w:rPr>
          <w:color w:val="0000FF"/>
          <w:szCs w:val="28"/>
        </w:rPr>
        <w:t xml:space="preserve">, 12, </w:t>
      </w:r>
      <w:r w:rsidRPr="00B62E69">
        <w:rPr>
          <w:color w:val="0000FF"/>
          <w:szCs w:val="28"/>
        </w:rPr>
        <w:t>с</w:t>
      </w:r>
      <w:r w:rsidRPr="000B3722">
        <w:rPr>
          <w:color w:val="0000FF"/>
          <w:szCs w:val="28"/>
        </w:rPr>
        <w:t>. 77</w:t>
      </w:r>
      <w:r w:rsidR="0053595C" w:rsidRPr="007A09F3">
        <w:rPr>
          <w:color w:val="0000FF"/>
          <w:szCs w:val="28"/>
        </w:rPr>
        <w:t>–</w:t>
      </w:r>
      <w:r w:rsidRPr="000B3722">
        <w:rPr>
          <w:color w:val="0000FF"/>
          <w:szCs w:val="28"/>
        </w:rPr>
        <w:t>170 (</w:t>
      </w:r>
      <w:r w:rsidRPr="00B62E69">
        <w:rPr>
          <w:color w:val="0000FF"/>
          <w:szCs w:val="28"/>
        </w:rPr>
        <w:t>спецпроект</w:t>
      </w:r>
      <w:r w:rsidRPr="000B3722">
        <w:rPr>
          <w:color w:val="0000FF"/>
          <w:szCs w:val="28"/>
        </w:rPr>
        <w:t>).</w:t>
      </w:r>
    </w:p>
    <w:p w14:paraId="02C5E666" w14:textId="3733A8FF" w:rsidR="007A09F3" w:rsidRDefault="007A09F3" w:rsidP="006657F2">
      <w:pPr>
        <w:pStyle w:val="a3"/>
        <w:rPr>
          <w:color w:val="0000FF"/>
          <w:szCs w:val="28"/>
        </w:rPr>
      </w:pPr>
      <w:r w:rsidRPr="007A09F3">
        <w:rPr>
          <w:color w:val="0000FF"/>
          <w:szCs w:val="28"/>
        </w:rPr>
        <w:t xml:space="preserve">Конопляник А.А.  </w:t>
      </w:r>
      <w:r w:rsidR="00DD2F87">
        <w:rPr>
          <w:color w:val="0000FF"/>
          <w:szCs w:val="28"/>
        </w:rPr>
        <w:t>(</w:t>
      </w:r>
      <w:r w:rsidR="00DD2F87" w:rsidRPr="007A09F3">
        <w:rPr>
          <w:color w:val="0000FF"/>
          <w:szCs w:val="28"/>
        </w:rPr>
        <w:t>2019</w:t>
      </w:r>
      <w:r w:rsidR="00DD2F87">
        <w:rPr>
          <w:color w:val="0000FF"/>
          <w:szCs w:val="28"/>
        </w:rPr>
        <w:t xml:space="preserve">). </w:t>
      </w:r>
      <w:r w:rsidRPr="007A09F3">
        <w:rPr>
          <w:color w:val="0000FF"/>
          <w:szCs w:val="28"/>
        </w:rPr>
        <w:t>О новой парадигме развития мировой энергетики, рисках и вызовах для России и мира. – М.: Институт народнохозяйственного прогнозирования РАН, 110 c.</w:t>
      </w:r>
    </w:p>
    <w:p w14:paraId="4D62D88B" w14:textId="5CE2C5AA" w:rsidR="006657F2" w:rsidRPr="0053595C" w:rsidRDefault="006657F2" w:rsidP="006657F2">
      <w:pPr>
        <w:pStyle w:val="a3"/>
      </w:pPr>
      <w:r w:rsidRPr="0053595C">
        <w:t xml:space="preserve">Лебедева Н.Е. (2019). Тенденции развития нефтегазового машиностроения РФ в условиях реализации политики импортозамещения. Инновации и инвестиции, 11, </w:t>
      </w:r>
      <w:r w:rsidRPr="0053595C">
        <w:rPr>
          <w:lang w:val="en-US"/>
        </w:rPr>
        <w:t>c</w:t>
      </w:r>
      <w:r w:rsidRPr="0053595C">
        <w:t>. 329–334.</w:t>
      </w:r>
    </w:p>
    <w:p w14:paraId="5A26D2CB" w14:textId="044F028A" w:rsidR="00583C9A" w:rsidRPr="00583C9A" w:rsidRDefault="00583C9A" w:rsidP="00583C9A">
      <w:pPr>
        <w:pStyle w:val="a3"/>
      </w:pPr>
      <w:r>
        <w:t xml:space="preserve">Литвиненко В.С., Петров В.И., Василевская Д.И., Яковенко А.В., Наумов В.И., Ратников М.А. </w:t>
      </w:r>
      <w:r w:rsidRPr="00923E2E">
        <w:t xml:space="preserve">(2022). </w:t>
      </w:r>
      <w:r>
        <w:t>Оценка роли государства в управлении минеральными ресурсами</w:t>
      </w:r>
      <w:r w:rsidRPr="00923E2E">
        <w:t>.</w:t>
      </w:r>
      <w:r>
        <w:t xml:space="preserve"> </w:t>
      </w:r>
      <w:r w:rsidRPr="00DF183D">
        <w:rPr>
          <w:i/>
          <w:iCs/>
        </w:rPr>
        <w:t>Записки горного института</w:t>
      </w:r>
      <w:r w:rsidRPr="00583C9A">
        <w:t xml:space="preserve">, 259, </w:t>
      </w:r>
      <w:r>
        <w:rPr>
          <w:lang w:val="en-US"/>
        </w:rPr>
        <w:t>c</w:t>
      </w:r>
      <w:r w:rsidRPr="00583C9A">
        <w:t xml:space="preserve">. 95–111. </w:t>
      </w:r>
      <w:r w:rsidRPr="00923E2E">
        <w:rPr>
          <w:lang w:val="en-US"/>
        </w:rPr>
        <w:t>https</w:t>
      </w:r>
      <w:r w:rsidRPr="00583C9A">
        <w:t>://</w:t>
      </w:r>
      <w:r w:rsidRPr="00923E2E">
        <w:rPr>
          <w:lang w:val="en-US"/>
        </w:rPr>
        <w:t>doi</w:t>
      </w:r>
      <w:r w:rsidRPr="00583C9A">
        <w:t>.</w:t>
      </w:r>
      <w:r w:rsidRPr="00923E2E">
        <w:rPr>
          <w:lang w:val="en-US"/>
        </w:rPr>
        <w:t>org</w:t>
      </w:r>
      <w:r w:rsidRPr="00583C9A">
        <w:t>/10.31897/</w:t>
      </w:r>
      <w:r w:rsidRPr="00915CEC">
        <w:rPr>
          <w:lang w:val="en-US"/>
        </w:rPr>
        <w:t>PMI</w:t>
      </w:r>
      <w:r w:rsidRPr="00583C9A">
        <w:t>.2022.100.</w:t>
      </w:r>
    </w:p>
    <w:p w14:paraId="3A96D8CB" w14:textId="77777777" w:rsidR="00583C9A" w:rsidRDefault="00583C9A" w:rsidP="00583C9A">
      <w:pPr>
        <w:pStyle w:val="a3"/>
      </w:pPr>
      <w:r>
        <w:t xml:space="preserve">Митрова Т., Грушевенко Е. </w:t>
      </w:r>
      <w:r w:rsidRPr="00923E2E">
        <w:t>(</w:t>
      </w:r>
      <w:r>
        <w:t>2018</w:t>
      </w:r>
      <w:r w:rsidRPr="00923E2E">
        <w:t>)</w:t>
      </w:r>
      <w:r>
        <w:t>.</w:t>
      </w:r>
      <w:r w:rsidRPr="00923E2E">
        <w:t xml:space="preserve"> </w:t>
      </w:r>
      <w:r>
        <w:t>Технологические партнерства в нефтегазовом секторе: применим ли мировой опыт кооперации в России. М.: Центр энергетики Московской школы управления Сколково, 42 с.</w:t>
      </w:r>
    </w:p>
    <w:p w14:paraId="0A869107" w14:textId="019EE720" w:rsidR="006657F2" w:rsidRDefault="006657F2" w:rsidP="006657F2">
      <w:pPr>
        <w:pStyle w:val="a3"/>
      </w:pPr>
      <w:r>
        <w:t>Полтерович</w:t>
      </w:r>
      <w:r w:rsidRPr="00BA666C">
        <w:t xml:space="preserve"> </w:t>
      </w:r>
      <w:r>
        <w:t>В</w:t>
      </w:r>
      <w:r w:rsidRPr="00BA666C">
        <w:t>.</w:t>
      </w:r>
      <w:r>
        <w:t>М</w:t>
      </w:r>
      <w:r w:rsidRPr="00BA666C">
        <w:t xml:space="preserve">. (2023). </w:t>
      </w:r>
      <w:r>
        <w:t>Догоняющее</w:t>
      </w:r>
      <w:r w:rsidRPr="00BA666C">
        <w:t xml:space="preserve"> </w:t>
      </w:r>
      <w:r>
        <w:t>развитие</w:t>
      </w:r>
      <w:r w:rsidRPr="00BA666C">
        <w:t xml:space="preserve"> </w:t>
      </w:r>
      <w:r>
        <w:t>в</w:t>
      </w:r>
      <w:r w:rsidRPr="00BA666C">
        <w:t xml:space="preserve"> </w:t>
      </w:r>
      <w:r>
        <w:t xml:space="preserve">условиях санкций: стратегия позитивного сотрудничества. </w:t>
      </w:r>
      <w:r w:rsidRPr="00DF183D">
        <w:rPr>
          <w:i/>
          <w:iCs/>
        </w:rPr>
        <w:t>Terra Economicus</w:t>
      </w:r>
      <w:r>
        <w:t xml:space="preserve">, 21(3), </w:t>
      </w:r>
      <w:r>
        <w:rPr>
          <w:lang w:val="en-US"/>
        </w:rPr>
        <w:t>c</w:t>
      </w:r>
      <w:r w:rsidRPr="00B021D7">
        <w:t xml:space="preserve">. </w:t>
      </w:r>
      <w:r>
        <w:t xml:space="preserve">6–16. </w:t>
      </w:r>
      <w:r w:rsidRPr="00821644">
        <w:t>https://doi.org/</w:t>
      </w:r>
      <w:r>
        <w:t>10.18522/2073-6606-2023-21-3-6-16.</w:t>
      </w:r>
    </w:p>
    <w:p w14:paraId="67767209" w14:textId="6C71E5A9" w:rsidR="006657F2" w:rsidRDefault="006657F2" w:rsidP="006657F2">
      <w:pPr>
        <w:pStyle w:val="a3"/>
      </w:pPr>
      <w:r>
        <w:t>Полтерович В.М. (2016). Институты догоняющего развития (к проекту новой модели экономического развития России)</w:t>
      </w:r>
      <w:r w:rsidR="00DF183D">
        <w:t>.</w:t>
      </w:r>
      <w:r>
        <w:t xml:space="preserve"> </w:t>
      </w:r>
      <w:r w:rsidRPr="00DF183D">
        <w:rPr>
          <w:i/>
          <w:iCs/>
        </w:rPr>
        <w:t>Экономические и социальные перемены: факты, тенденции, прогноз</w:t>
      </w:r>
      <w:r w:rsidRPr="00B021D7">
        <w:t>,</w:t>
      </w:r>
      <w:r>
        <w:t xml:space="preserve"> 5(47)</w:t>
      </w:r>
      <w:r w:rsidRPr="00B021D7">
        <w:t xml:space="preserve">, </w:t>
      </w:r>
      <w:r>
        <w:rPr>
          <w:lang w:val="en-US"/>
        </w:rPr>
        <w:t>c</w:t>
      </w:r>
      <w:r>
        <w:t xml:space="preserve">. 34–56. </w:t>
      </w:r>
      <w:r w:rsidRPr="00821644">
        <w:t>https://doi.org/</w:t>
      </w:r>
      <w:r>
        <w:t>10.15838/esc.2016.5.47.2.</w:t>
      </w:r>
    </w:p>
    <w:p w14:paraId="4601C1D3" w14:textId="29158A29" w:rsidR="006657F2" w:rsidRPr="00B021D7" w:rsidRDefault="006657F2" w:rsidP="006657F2">
      <w:pPr>
        <w:pStyle w:val="a3"/>
      </w:pPr>
      <w:r>
        <w:t>Полтерович В.М. (2024). Формирование отечественных сетей добавленной стоимости</w:t>
      </w:r>
      <w:r w:rsidR="00DF183D">
        <w:t>.</w:t>
      </w:r>
      <w:r>
        <w:t xml:space="preserve"> </w:t>
      </w:r>
      <w:r w:rsidRPr="00DF183D">
        <w:rPr>
          <w:i/>
          <w:iCs/>
        </w:rPr>
        <w:t>Журнал Новой экономической ассоциации</w:t>
      </w:r>
      <w:r w:rsidRPr="00B021D7">
        <w:t xml:space="preserve">, 3(64), </w:t>
      </w:r>
      <w:r>
        <w:rPr>
          <w:lang w:val="en-US"/>
        </w:rPr>
        <w:t>c</w:t>
      </w:r>
      <w:r w:rsidRPr="00B021D7">
        <w:t xml:space="preserve">. 251–257. </w:t>
      </w:r>
      <w:r w:rsidRPr="00821644">
        <w:t>https://doi.org/</w:t>
      </w:r>
      <w:r w:rsidRPr="00B021D7">
        <w:t>10.31737/22212264_2024_3_251-257.</w:t>
      </w:r>
    </w:p>
    <w:p w14:paraId="460D32F4" w14:textId="4C48929A" w:rsidR="00C5627F" w:rsidRDefault="00C5627F" w:rsidP="00666BD9">
      <w:pPr>
        <w:rPr>
          <w:rFonts w:cs="Times New Roman"/>
          <w:color w:val="0000FF"/>
          <w:szCs w:val="28"/>
        </w:rPr>
      </w:pPr>
      <w:r w:rsidRPr="00C5627F">
        <w:rPr>
          <w:rFonts w:cs="Times New Roman"/>
          <w:color w:val="0000FF"/>
          <w:szCs w:val="28"/>
        </w:rPr>
        <w:t xml:space="preserve">Сапир Ж. (2022). Станет ли плановая экономика нашим будущим? </w:t>
      </w:r>
      <w:r w:rsidRPr="00DF183D">
        <w:rPr>
          <w:rFonts w:cs="Times New Roman"/>
          <w:i/>
          <w:iCs/>
          <w:color w:val="0000FF"/>
          <w:szCs w:val="28"/>
        </w:rPr>
        <w:t>Проблемы прогнозирования</w:t>
      </w:r>
      <w:r>
        <w:rPr>
          <w:rFonts w:cs="Times New Roman"/>
          <w:color w:val="0000FF"/>
          <w:szCs w:val="28"/>
        </w:rPr>
        <w:t>,</w:t>
      </w:r>
      <w:r w:rsidRPr="00C5627F">
        <w:rPr>
          <w:rFonts w:cs="Times New Roman"/>
          <w:color w:val="0000FF"/>
          <w:szCs w:val="28"/>
        </w:rPr>
        <w:t xml:space="preserve"> 6 (195)</w:t>
      </w:r>
      <w:r>
        <w:rPr>
          <w:rFonts w:cs="Times New Roman"/>
          <w:color w:val="0000FF"/>
          <w:szCs w:val="28"/>
        </w:rPr>
        <w:t>,</w:t>
      </w:r>
      <w:r w:rsidRPr="00C5627F">
        <w:rPr>
          <w:rFonts w:cs="Times New Roman"/>
          <w:color w:val="0000FF"/>
          <w:szCs w:val="28"/>
        </w:rPr>
        <w:t xml:space="preserve"> </w:t>
      </w:r>
      <w:r>
        <w:rPr>
          <w:rFonts w:cs="Times New Roman"/>
          <w:color w:val="0000FF"/>
          <w:szCs w:val="28"/>
        </w:rPr>
        <w:t xml:space="preserve">с. </w:t>
      </w:r>
      <w:r w:rsidRPr="00C5627F">
        <w:rPr>
          <w:rFonts w:cs="Times New Roman"/>
          <w:color w:val="0000FF"/>
          <w:szCs w:val="28"/>
        </w:rPr>
        <w:t>6</w:t>
      </w:r>
      <w:r w:rsidRPr="00B021D7">
        <w:t>–</w:t>
      </w:r>
      <w:r w:rsidRPr="00C5627F">
        <w:rPr>
          <w:rFonts w:cs="Times New Roman"/>
          <w:color w:val="0000FF"/>
          <w:szCs w:val="28"/>
        </w:rPr>
        <w:t>26. DOI: 10.47711/0868-6351-195-6-26.</w:t>
      </w:r>
    </w:p>
    <w:p w14:paraId="4941FC37" w14:textId="0F8BE56C" w:rsidR="00666BD9" w:rsidRDefault="00666BD9" w:rsidP="00666BD9">
      <w:pPr>
        <w:rPr>
          <w:rFonts w:cs="Times New Roman"/>
          <w:color w:val="0000FF"/>
          <w:szCs w:val="28"/>
        </w:rPr>
      </w:pPr>
      <w:r w:rsidRPr="00666BD9">
        <w:rPr>
          <w:rFonts w:cs="Times New Roman"/>
          <w:color w:val="0000FF"/>
          <w:szCs w:val="28"/>
        </w:rPr>
        <w:t xml:space="preserve">Сланцевая революция и глобальный энергетический переход </w:t>
      </w:r>
      <w:r w:rsidR="00DD2F87">
        <w:rPr>
          <w:rFonts w:cs="Times New Roman"/>
          <w:color w:val="0000FF"/>
          <w:szCs w:val="28"/>
        </w:rPr>
        <w:t>(</w:t>
      </w:r>
      <w:r w:rsidR="00DD2F87" w:rsidRPr="00666BD9">
        <w:rPr>
          <w:rFonts w:cs="Times New Roman"/>
          <w:color w:val="0000FF"/>
          <w:szCs w:val="28"/>
        </w:rPr>
        <w:t>2019</w:t>
      </w:r>
      <w:r w:rsidR="00DD2F87">
        <w:rPr>
          <w:rFonts w:cs="Times New Roman"/>
          <w:color w:val="0000FF"/>
          <w:szCs w:val="28"/>
        </w:rPr>
        <w:t xml:space="preserve">). </w:t>
      </w:r>
      <w:r w:rsidRPr="00666BD9">
        <w:rPr>
          <w:rFonts w:cs="Times New Roman"/>
          <w:color w:val="0000FF"/>
          <w:szCs w:val="28"/>
        </w:rPr>
        <w:t>Под ред. Н.А. Иванова. М.; СПб.: Нестор-История, 540 с.</w:t>
      </w:r>
    </w:p>
    <w:p w14:paraId="12986DB6" w14:textId="6E252466" w:rsidR="00E202FA" w:rsidRDefault="00E202FA" w:rsidP="00666BD9">
      <w:pPr>
        <w:rPr>
          <w:rFonts w:cs="Times New Roman"/>
          <w:szCs w:val="28"/>
        </w:rPr>
      </w:pPr>
      <w:r w:rsidRPr="001D6A91">
        <w:rPr>
          <w:rFonts w:cs="Times New Roman"/>
          <w:color w:val="0000FF"/>
          <w:szCs w:val="28"/>
        </w:rPr>
        <w:lastRenderedPageBreak/>
        <w:t>Трюэль Ж.-Л., Рассадина А. К. (2017). Опыт французского планирования в контексте задачи модернизации российской экономики</w:t>
      </w:r>
      <w:r>
        <w:rPr>
          <w:rFonts w:cs="Times New Roman"/>
          <w:color w:val="0000FF"/>
          <w:szCs w:val="28"/>
        </w:rPr>
        <w:t>.</w:t>
      </w:r>
      <w:r w:rsidRPr="001D6A91">
        <w:rPr>
          <w:rFonts w:cs="Times New Roman"/>
          <w:color w:val="0000FF"/>
          <w:szCs w:val="28"/>
        </w:rPr>
        <w:t xml:space="preserve"> </w:t>
      </w:r>
      <w:r w:rsidRPr="00DF183D">
        <w:rPr>
          <w:rFonts w:cs="Times New Roman"/>
          <w:i/>
          <w:iCs/>
          <w:color w:val="0000FF"/>
          <w:szCs w:val="28"/>
        </w:rPr>
        <w:t>Экономическое возрождение России</w:t>
      </w:r>
      <w:r w:rsidRPr="001D6A91">
        <w:rPr>
          <w:rFonts w:cs="Times New Roman"/>
          <w:color w:val="0000FF"/>
          <w:szCs w:val="28"/>
        </w:rPr>
        <w:t>, 1(51), с. 51–62</w:t>
      </w:r>
      <w:r w:rsidRPr="004D245A">
        <w:rPr>
          <w:rFonts w:cs="Times New Roman"/>
          <w:szCs w:val="28"/>
        </w:rPr>
        <w:t>.</w:t>
      </w:r>
    </w:p>
    <w:p w14:paraId="4446551B" w14:textId="77777777" w:rsidR="00583C9A" w:rsidRPr="00BA666C" w:rsidRDefault="00583C9A" w:rsidP="00583C9A">
      <w:pPr>
        <w:pStyle w:val="a3"/>
        <w:rPr>
          <w:lang w:val="en-US"/>
        </w:rPr>
      </w:pPr>
      <w:r>
        <w:t>Устюжанина</w:t>
      </w:r>
      <w:r w:rsidRPr="004F4CCA">
        <w:t xml:space="preserve"> </w:t>
      </w:r>
      <w:r>
        <w:t>Е</w:t>
      </w:r>
      <w:r w:rsidRPr="004F4CCA">
        <w:t>.</w:t>
      </w:r>
      <w:r>
        <w:t>В</w:t>
      </w:r>
      <w:r w:rsidRPr="004F4CCA">
        <w:t xml:space="preserve">., </w:t>
      </w:r>
      <w:r>
        <w:t>Устюжанин</w:t>
      </w:r>
      <w:r w:rsidRPr="004F4CCA">
        <w:t xml:space="preserve"> </w:t>
      </w:r>
      <w:r>
        <w:t>В</w:t>
      </w:r>
      <w:r w:rsidRPr="004F4CCA">
        <w:t>.</w:t>
      </w:r>
      <w:r>
        <w:t>Л</w:t>
      </w:r>
      <w:r w:rsidRPr="004F4CCA">
        <w:t xml:space="preserve">. (2024). </w:t>
      </w:r>
      <w:r>
        <w:t>Сети создания стоимости как участники системы индикативного планирования</w:t>
      </w:r>
      <w:r w:rsidRPr="00B021D7">
        <w:t>.</w:t>
      </w:r>
      <w:r>
        <w:t xml:space="preserve"> </w:t>
      </w:r>
      <w:r w:rsidRPr="00DF183D">
        <w:rPr>
          <w:i/>
          <w:iCs/>
        </w:rPr>
        <w:t>Креативная</w:t>
      </w:r>
      <w:r w:rsidRPr="00DF183D">
        <w:rPr>
          <w:i/>
          <w:iCs/>
          <w:lang w:val="en-US"/>
        </w:rPr>
        <w:t xml:space="preserve"> </w:t>
      </w:r>
      <w:r w:rsidRPr="00DF183D">
        <w:rPr>
          <w:i/>
          <w:iCs/>
        </w:rPr>
        <w:t>экономика</w:t>
      </w:r>
      <w:r w:rsidRPr="00BA666C">
        <w:rPr>
          <w:lang w:val="en-US"/>
        </w:rPr>
        <w:t>, 18(10). https://doi.org/10.18334/ce.18.10.121621.</w:t>
      </w:r>
    </w:p>
    <w:p w14:paraId="6F056330" w14:textId="7D47D07B" w:rsidR="006657F2" w:rsidRDefault="006657F2" w:rsidP="00915CEC">
      <w:pPr>
        <w:pStyle w:val="a3"/>
        <w:rPr>
          <w:lang w:val="en-US"/>
        </w:rPr>
      </w:pPr>
      <w:r w:rsidRPr="00C5627F">
        <w:rPr>
          <w:lang w:val="en-US"/>
        </w:rPr>
        <w:t xml:space="preserve">Al-Kasim F. (2006). </w:t>
      </w:r>
      <w:r w:rsidRPr="00915CEC">
        <w:rPr>
          <w:lang w:val="en-US"/>
        </w:rPr>
        <w:t>Managing Petroleum Resources. The ‘Nor</w:t>
      </w:r>
      <w:r w:rsidR="006818A2">
        <w:rPr>
          <w:lang w:val="en-US"/>
        </w:rPr>
        <w:t>w</w:t>
      </w:r>
      <w:r w:rsidRPr="00915CEC">
        <w:rPr>
          <w:lang w:val="en-US"/>
        </w:rPr>
        <w:t xml:space="preserve">egian Model’ in a Broad Perspective. </w:t>
      </w:r>
      <w:r w:rsidRPr="00BA666C">
        <w:rPr>
          <w:lang w:val="en-US"/>
        </w:rPr>
        <w:t>Oxford</w:t>
      </w:r>
      <w:r>
        <w:rPr>
          <w:lang w:val="en-US"/>
        </w:rPr>
        <w:t>:</w:t>
      </w:r>
      <w:r w:rsidRPr="00BA666C">
        <w:rPr>
          <w:lang w:val="en-US"/>
        </w:rPr>
        <w:t xml:space="preserve"> Oxford Institute for Energy Studies, 264 p.</w:t>
      </w:r>
    </w:p>
    <w:p w14:paraId="02575829" w14:textId="57766295" w:rsidR="00915CEC" w:rsidRPr="00C06E51" w:rsidRDefault="00915CEC" w:rsidP="00915CEC">
      <w:pPr>
        <w:pStyle w:val="a3"/>
        <w:rPr>
          <w:lang w:val="en-US"/>
        </w:rPr>
      </w:pPr>
      <w:r w:rsidRPr="00915CEC">
        <w:rPr>
          <w:lang w:val="en-US"/>
        </w:rPr>
        <w:t xml:space="preserve">Atienza M., Lufin M., Soto J. </w:t>
      </w:r>
      <w:r w:rsidR="00B021D7" w:rsidRPr="00B021D7">
        <w:rPr>
          <w:lang w:val="en-US"/>
        </w:rPr>
        <w:t>(</w:t>
      </w:r>
      <w:r w:rsidR="00B021D7" w:rsidRPr="00C06E51">
        <w:rPr>
          <w:lang w:val="en-US"/>
        </w:rPr>
        <w:t>2021</w:t>
      </w:r>
      <w:r w:rsidR="00B021D7" w:rsidRPr="00B021D7">
        <w:rPr>
          <w:lang w:val="en-US"/>
        </w:rPr>
        <w:t>)</w:t>
      </w:r>
      <w:r w:rsidR="00B021D7" w:rsidRPr="00C06E51">
        <w:rPr>
          <w:lang w:val="en-US"/>
        </w:rPr>
        <w:t>.</w:t>
      </w:r>
      <w:r w:rsidR="00B021D7" w:rsidRPr="00B021D7">
        <w:rPr>
          <w:lang w:val="en-US"/>
        </w:rPr>
        <w:t xml:space="preserve"> </w:t>
      </w:r>
      <w:r w:rsidRPr="00915CEC">
        <w:rPr>
          <w:lang w:val="en-US"/>
        </w:rPr>
        <w:t>Mining linkages in the Chilean copper supply network and regional economic development</w:t>
      </w:r>
      <w:r w:rsidR="00C06E51">
        <w:rPr>
          <w:lang w:val="en-US"/>
        </w:rPr>
        <w:t>.</w:t>
      </w:r>
      <w:r w:rsidRPr="00915CEC">
        <w:rPr>
          <w:lang w:val="en-US"/>
        </w:rPr>
        <w:t xml:space="preserve"> </w:t>
      </w:r>
      <w:r w:rsidRPr="00DF183D">
        <w:rPr>
          <w:i/>
          <w:iCs/>
          <w:lang w:val="en-US"/>
        </w:rPr>
        <w:t>Resources Policy</w:t>
      </w:r>
      <w:r w:rsidR="00C06E51">
        <w:rPr>
          <w:lang w:val="en-US"/>
        </w:rPr>
        <w:t xml:space="preserve">, </w:t>
      </w:r>
      <w:r w:rsidRPr="00C06E51">
        <w:rPr>
          <w:lang w:val="en-US"/>
        </w:rPr>
        <w:t>70</w:t>
      </w:r>
      <w:r w:rsidR="00B021D7">
        <w:rPr>
          <w:lang w:val="en-US"/>
        </w:rPr>
        <w:t>,</w:t>
      </w:r>
      <w:r w:rsidRPr="00C06E51">
        <w:rPr>
          <w:lang w:val="en-US"/>
        </w:rPr>
        <w:t xml:space="preserve"> 101154. </w:t>
      </w:r>
      <w:r w:rsidR="00821644" w:rsidRPr="00C06E51">
        <w:rPr>
          <w:lang w:val="en-US"/>
        </w:rPr>
        <w:t>https://doi.org/</w:t>
      </w:r>
      <w:r w:rsidRPr="00C06E51">
        <w:rPr>
          <w:lang w:val="en-US"/>
        </w:rPr>
        <w:t>10.1016/j.resourpol.2018.02.013.</w:t>
      </w:r>
    </w:p>
    <w:p w14:paraId="1B53D8ED" w14:textId="07C702F8" w:rsidR="00583C9A" w:rsidRPr="00915CEC" w:rsidRDefault="00583C9A" w:rsidP="00583C9A">
      <w:pPr>
        <w:pStyle w:val="a3"/>
        <w:rPr>
          <w:lang w:val="en-US"/>
        </w:rPr>
      </w:pPr>
      <w:r w:rsidRPr="00915CEC">
        <w:rPr>
          <w:lang w:val="en-US"/>
        </w:rPr>
        <w:t xml:space="preserve">Audretsch D., Feldman M. </w:t>
      </w:r>
      <w:r>
        <w:rPr>
          <w:lang w:val="en-US"/>
        </w:rPr>
        <w:t>(</w:t>
      </w:r>
      <w:r w:rsidRPr="00915CEC">
        <w:rPr>
          <w:lang w:val="en-US"/>
        </w:rPr>
        <w:t>1996</w:t>
      </w:r>
      <w:r>
        <w:rPr>
          <w:lang w:val="en-US"/>
        </w:rPr>
        <w:t xml:space="preserve">). </w:t>
      </w:r>
      <w:r w:rsidRPr="00915CEC">
        <w:rPr>
          <w:lang w:val="en-US"/>
        </w:rPr>
        <w:t>Innovative clusters and the industry life cycle</w:t>
      </w:r>
      <w:r>
        <w:rPr>
          <w:lang w:val="en-US"/>
        </w:rPr>
        <w:t>.</w:t>
      </w:r>
      <w:r w:rsidRPr="00915CEC">
        <w:rPr>
          <w:lang w:val="en-US"/>
        </w:rPr>
        <w:t xml:space="preserve"> </w:t>
      </w:r>
      <w:r w:rsidRPr="00DF183D">
        <w:rPr>
          <w:i/>
          <w:iCs/>
          <w:lang w:val="en-US"/>
        </w:rPr>
        <w:t>Review of Industrial Organization</w:t>
      </w:r>
      <w:r>
        <w:rPr>
          <w:lang w:val="en-US"/>
        </w:rPr>
        <w:t>,</w:t>
      </w:r>
      <w:r w:rsidRPr="00915CEC">
        <w:rPr>
          <w:lang w:val="en-US"/>
        </w:rPr>
        <w:t xml:space="preserve"> 11</w:t>
      </w:r>
      <w:r>
        <w:rPr>
          <w:lang w:val="en-US"/>
        </w:rPr>
        <w:t xml:space="preserve">, </w:t>
      </w:r>
      <w:r w:rsidR="007C29BA">
        <w:rPr>
          <w:lang w:val="en-US"/>
        </w:rPr>
        <w:t>p</w:t>
      </w:r>
      <w:r>
        <w:rPr>
          <w:lang w:val="en-US"/>
        </w:rPr>
        <w:t>p</w:t>
      </w:r>
      <w:r w:rsidRPr="00915CEC">
        <w:rPr>
          <w:lang w:val="en-US"/>
        </w:rPr>
        <w:t xml:space="preserve">. 253–273. </w:t>
      </w:r>
      <w:r w:rsidRPr="00C06E51">
        <w:rPr>
          <w:lang w:val="en-US"/>
        </w:rPr>
        <w:t>https://doi.org/</w:t>
      </w:r>
      <w:r w:rsidRPr="00915CEC">
        <w:rPr>
          <w:lang w:val="en-US"/>
        </w:rPr>
        <w:t>10.1007/BF00157670.</w:t>
      </w:r>
    </w:p>
    <w:p w14:paraId="5137E6AD" w14:textId="625E0AE4" w:rsidR="006657F2" w:rsidRPr="00915CEC" w:rsidRDefault="006657F2" w:rsidP="006657F2">
      <w:pPr>
        <w:pStyle w:val="a3"/>
        <w:rPr>
          <w:lang w:val="en-US"/>
        </w:rPr>
      </w:pPr>
      <w:r w:rsidRPr="00915CEC">
        <w:rPr>
          <w:lang w:val="en-US"/>
        </w:rPr>
        <w:t xml:space="preserve">Cassini L., Robert V. </w:t>
      </w:r>
      <w:r>
        <w:rPr>
          <w:lang w:val="en-US"/>
        </w:rPr>
        <w:t>(</w:t>
      </w:r>
      <w:r w:rsidRPr="00915CEC">
        <w:rPr>
          <w:lang w:val="en-US"/>
        </w:rPr>
        <w:t>2020</w:t>
      </w:r>
      <w:r>
        <w:rPr>
          <w:lang w:val="en-US"/>
        </w:rPr>
        <w:t>)</w:t>
      </w:r>
      <w:r w:rsidRPr="00915CEC">
        <w:rPr>
          <w:lang w:val="en-US"/>
        </w:rPr>
        <w:t>.</w:t>
      </w:r>
      <w:r>
        <w:rPr>
          <w:lang w:val="en-US"/>
        </w:rPr>
        <w:t xml:space="preserve"> </w:t>
      </w:r>
      <w:r w:rsidRPr="00915CEC">
        <w:rPr>
          <w:lang w:val="en-US"/>
        </w:rPr>
        <w:t xml:space="preserve">Services as drivers of economic growth. Is there an opportunity for Latin America countries? </w:t>
      </w:r>
      <w:r w:rsidRPr="00DF183D">
        <w:rPr>
          <w:i/>
          <w:iCs/>
          <w:lang w:val="en-US"/>
        </w:rPr>
        <w:t>Economics of Innovation and New Technology</w:t>
      </w:r>
      <w:r>
        <w:rPr>
          <w:lang w:val="en-US"/>
        </w:rPr>
        <w:t>,</w:t>
      </w:r>
      <w:r w:rsidRPr="00915CEC">
        <w:rPr>
          <w:lang w:val="en-US"/>
        </w:rPr>
        <w:t xml:space="preserve"> 29(7)</w:t>
      </w:r>
      <w:r>
        <w:rPr>
          <w:lang w:val="en-US"/>
        </w:rPr>
        <w:t xml:space="preserve">, </w:t>
      </w:r>
      <w:r w:rsidR="007C29BA">
        <w:rPr>
          <w:lang w:val="en-US"/>
        </w:rPr>
        <w:t>p</w:t>
      </w:r>
      <w:r>
        <w:rPr>
          <w:lang w:val="en-US"/>
        </w:rPr>
        <w:t>p</w:t>
      </w:r>
      <w:r w:rsidR="007C29BA">
        <w:rPr>
          <w:lang w:val="en-US"/>
        </w:rPr>
        <w:t>.</w:t>
      </w:r>
      <w:r w:rsidRPr="00915CEC">
        <w:rPr>
          <w:lang w:val="en-US"/>
        </w:rPr>
        <w:t xml:space="preserve"> 762–783. </w:t>
      </w:r>
      <w:r w:rsidRPr="00B021D7">
        <w:rPr>
          <w:lang w:val="en-US"/>
        </w:rPr>
        <w:t>https://doi.org/</w:t>
      </w:r>
      <w:r w:rsidRPr="00915CEC">
        <w:rPr>
          <w:lang w:val="en-US"/>
        </w:rPr>
        <w:t>10.1080/10438599.2020.1719636.</w:t>
      </w:r>
    </w:p>
    <w:p w14:paraId="2A373BE2" w14:textId="55526E20" w:rsidR="00583C9A" w:rsidRPr="00583C9A" w:rsidRDefault="00583C9A" w:rsidP="00583C9A">
      <w:pPr>
        <w:pStyle w:val="a3"/>
        <w:rPr>
          <w:lang w:val="en-US"/>
        </w:rPr>
      </w:pPr>
      <w:r w:rsidRPr="00915CEC">
        <w:rPr>
          <w:lang w:val="en-US"/>
        </w:rPr>
        <w:t>Casta</w:t>
      </w:r>
      <w:r w:rsidRPr="00923E2E">
        <w:rPr>
          <w:lang w:val="en-US"/>
        </w:rPr>
        <w:t>ñ</w:t>
      </w:r>
      <w:r w:rsidRPr="00915CEC">
        <w:rPr>
          <w:lang w:val="en-US"/>
        </w:rPr>
        <w:t>o</w:t>
      </w:r>
      <w:r w:rsidRPr="00923E2E">
        <w:rPr>
          <w:lang w:val="en-US"/>
        </w:rPr>
        <w:t xml:space="preserve"> </w:t>
      </w:r>
      <w:r w:rsidRPr="00915CEC">
        <w:rPr>
          <w:lang w:val="en-US"/>
        </w:rPr>
        <w:t>A</w:t>
      </w:r>
      <w:r w:rsidRPr="00923E2E">
        <w:rPr>
          <w:lang w:val="en-US"/>
        </w:rPr>
        <w:t>.</w:t>
      </w:r>
      <w:r w:rsidRPr="00915CEC">
        <w:rPr>
          <w:lang w:val="en-US"/>
        </w:rPr>
        <w:t>M</w:t>
      </w:r>
      <w:r w:rsidRPr="00923E2E">
        <w:rPr>
          <w:lang w:val="en-US"/>
        </w:rPr>
        <w:t xml:space="preserve">., </w:t>
      </w:r>
      <w:r w:rsidRPr="00915CEC">
        <w:rPr>
          <w:lang w:val="en-US"/>
        </w:rPr>
        <w:t>Lufin</w:t>
      </w:r>
      <w:r w:rsidRPr="00923E2E">
        <w:rPr>
          <w:lang w:val="en-US"/>
        </w:rPr>
        <w:t xml:space="preserve"> </w:t>
      </w:r>
      <w:r w:rsidRPr="00915CEC">
        <w:rPr>
          <w:lang w:val="en-US"/>
        </w:rPr>
        <w:t>M</w:t>
      </w:r>
      <w:r w:rsidRPr="00923E2E">
        <w:rPr>
          <w:lang w:val="en-US"/>
        </w:rPr>
        <w:t xml:space="preserve">., </w:t>
      </w:r>
      <w:r w:rsidRPr="00915CEC">
        <w:rPr>
          <w:lang w:val="en-US"/>
        </w:rPr>
        <w:t>Atienza</w:t>
      </w:r>
      <w:r w:rsidRPr="00923E2E">
        <w:rPr>
          <w:lang w:val="en-US"/>
        </w:rPr>
        <w:t xml:space="preserve"> </w:t>
      </w:r>
      <w:r w:rsidRPr="00915CEC">
        <w:rPr>
          <w:lang w:val="en-US"/>
        </w:rPr>
        <w:t>M</w:t>
      </w:r>
      <w:r w:rsidRPr="00923E2E">
        <w:rPr>
          <w:lang w:val="en-US"/>
        </w:rPr>
        <w:t xml:space="preserve">. </w:t>
      </w:r>
      <w:r>
        <w:rPr>
          <w:lang w:val="en-US"/>
        </w:rPr>
        <w:t>(</w:t>
      </w:r>
      <w:r w:rsidRPr="00923E2E">
        <w:rPr>
          <w:lang w:val="en-US"/>
        </w:rPr>
        <w:t>2019</w:t>
      </w:r>
      <w:r>
        <w:rPr>
          <w:lang w:val="en-US"/>
        </w:rPr>
        <w:t>)</w:t>
      </w:r>
      <w:r w:rsidRPr="00923E2E">
        <w:rPr>
          <w:lang w:val="en-US"/>
        </w:rPr>
        <w:t>.</w:t>
      </w:r>
      <w:r>
        <w:rPr>
          <w:lang w:val="en-US"/>
        </w:rPr>
        <w:t xml:space="preserve"> </w:t>
      </w:r>
      <w:r w:rsidRPr="00915CEC">
        <w:rPr>
          <w:lang w:val="en-US"/>
        </w:rPr>
        <w:t>A</w:t>
      </w:r>
      <w:r w:rsidRPr="00923E2E">
        <w:rPr>
          <w:lang w:val="en-US"/>
        </w:rPr>
        <w:t xml:space="preserve"> </w:t>
      </w:r>
      <w:r w:rsidRPr="00915CEC">
        <w:rPr>
          <w:lang w:val="en-US"/>
        </w:rPr>
        <w:t>Structural</w:t>
      </w:r>
      <w:r w:rsidRPr="00923E2E">
        <w:rPr>
          <w:lang w:val="en-US"/>
        </w:rPr>
        <w:t xml:space="preserve"> </w:t>
      </w:r>
      <w:r w:rsidRPr="00915CEC">
        <w:rPr>
          <w:lang w:val="en-US"/>
        </w:rPr>
        <w:t>Path</w:t>
      </w:r>
      <w:r w:rsidRPr="00923E2E">
        <w:rPr>
          <w:lang w:val="en-US"/>
        </w:rPr>
        <w:t xml:space="preserve"> </w:t>
      </w:r>
      <w:r w:rsidRPr="00915CEC">
        <w:rPr>
          <w:lang w:val="en-US"/>
        </w:rPr>
        <w:t>Analysis</w:t>
      </w:r>
      <w:r w:rsidRPr="00923E2E">
        <w:rPr>
          <w:lang w:val="en-US"/>
        </w:rPr>
        <w:t xml:space="preserve"> </w:t>
      </w:r>
      <w:r w:rsidRPr="00915CEC">
        <w:rPr>
          <w:lang w:val="en-US"/>
        </w:rPr>
        <w:t>of</w:t>
      </w:r>
      <w:r w:rsidRPr="00923E2E">
        <w:rPr>
          <w:lang w:val="en-US"/>
        </w:rPr>
        <w:t xml:space="preserve"> </w:t>
      </w:r>
      <w:r w:rsidRPr="00915CEC">
        <w:rPr>
          <w:lang w:val="en-US"/>
        </w:rPr>
        <w:t>the</w:t>
      </w:r>
      <w:r w:rsidRPr="00923E2E">
        <w:rPr>
          <w:lang w:val="en-US"/>
        </w:rPr>
        <w:t xml:space="preserve"> </w:t>
      </w:r>
      <w:r w:rsidRPr="00915CEC">
        <w:rPr>
          <w:lang w:val="en-US"/>
        </w:rPr>
        <w:t>Chilean</w:t>
      </w:r>
      <w:r w:rsidRPr="00923E2E">
        <w:rPr>
          <w:lang w:val="en-US"/>
        </w:rPr>
        <w:t xml:space="preserve"> </w:t>
      </w:r>
      <w:r w:rsidRPr="00915CEC">
        <w:rPr>
          <w:lang w:val="en-US"/>
        </w:rPr>
        <w:t>mining</w:t>
      </w:r>
      <w:r w:rsidRPr="00923E2E">
        <w:rPr>
          <w:lang w:val="en-US"/>
        </w:rPr>
        <w:t xml:space="preserve"> </w:t>
      </w:r>
      <w:r w:rsidRPr="00915CEC">
        <w:rPr>
          <w:lang w:val="en-US"/>
        </w:rPr>
        <w:t>industry</w:t>
      </w:r>
      <w:r w:rsidRPr="00923E2E">
        <w:rPr>
          <w:lang w:val="en-US"/>
        </w:rPr>
        <w:t xml:space="preserve"> </w:t>
      </w:r>
      <w:r w:rsidRPr="00915CEC">
        <w:rPr>
          <w:lang w:val="en-US"/>
        </w:rPr>
        <w:t>between</w:t>
      </w:r>
      <w:r w:rsidRPr="00923E2E">
        <w:rPr>
          <w:lang w:val="en-US"/>
        </w:rPr>
        <w:t xml:space="preserve"> 1995–2011. </w:t>
      </w:r>
      <w:r w:rsidRPr="00915CEC">
        <w:rPr>
          <w:lang w:val="en-US"/>
        </w:rPr>
        <w:t>What</w:t>
      </w:r>
      <w:r w:rsidRPr="00583C9A">
        <w:rPr>
          <w:lang w:val="en-US"/>
        </w:rPr>
        <w:t xml:space="preserve"> </w:t>
      </w:r>
      <w:r w:rsidRPr="00915CEC">
        <w:rPr>
          <w:lang w:val="en-US"/>
        </w:rPr>
        <w:t>are</w:t>
      </w:r>
      <w:r w:rsidRPr="00583C9A">
        <w:rPr>
          <w:lang w:val="en-US"/>
        </w:rPr>
        <w:t xml:space="preserve"> </w:t>
      </w:r>
      <w:r w:rsidRPr="00915CEC">
        <w:rPr>
          <w:lang w:val="en-US"/>
        </w:rPr>
        <w:t>the</w:t>
      </w:r>
      <w:r w:rsidRPr="00583C9A">
        <w:rPr>
          <w:lang w:val="en-US"/>
        </w:rPr>
        <w:t xml:space="preserve"> </w:t>
      </w:r>
      <w:r w:rsidRPr="00915CEC">
        <w:rPr>
          <w:lang w:val="en-US"/>
        </w:rPr>
        <w:t xml:space="preserve">channels through which extractive activity affects the economy? </w:t>
      </w:r>
      <w:r w:rsidRPr="000E3B81">
        <w:rPr>
          <w:i/>
          <w:iCs/>
          <w:lang w:val="en-US"/>
        </w:rPr>
        <w:t>Resources Policy</w:t>
      </w:r>
      <w:r w:rsidRPr="00583C9A">
        <w:rPr>
          <w:lang w:val="en-US"/>
        </w:rPr>
        <w:t xml:space="preserve">, 60, </w:t>
      </w:r>
      <w:r>
        <w:rPr>
          <w:lang w:val="en-US"/>
        </w:rPr>
        <w:t>p</w:t>
      </w:r>
      <w:r w:rsidR="000B2AA4">
        <w:rPr>
          <w:lang w:val="en-US"/>
        </w:rPr>
        <w:t>p</w:t>
      </w:r>
      <w:r w:rsidRPr="00583C9A">
        <w:rPr>
          <w:lang w:val="en-US"/>
        </w:rPr>
        <w:t>. 106–117. https://doi.org/10.1016/j.resourpol.2018.12.007.</w:t>
      </w:r>
    </w:p>
    <w:p w14:paraId="1F1B7E1B" w14:textId="59CB1F8E" w:rsidR="00583C9A" w:rsidRDefault="00583C9A" w:rsidP="006657F2">
      <w:pPr>
        <w:pStyle w:val="a3"/>
        <w:rPr>
          <w:lang w:val="en-US"/>
        </w:rPr>
      </w:pPr>
      <w:r w:rsidRPr="00915CEC">
        <w:rPr>
          <w:lang w:val="en-US"/>
        </w:rPr>
        <w:t xml:space="preserve">Cooke P. </w:t>
      </w:r>
      <w:r>
        <w:rPr>
          <w:lang w:val="en-US"/>
        </w:rPr>
        <w:t>(</w:t>
      </w:r>
      <w:r w:rsidRPr="00915CEC">
        <w:rPr>
          <w:lang w:val="en-US"/>
        </w:rPr>
        <w:t>2002</w:t>
      </w:r>
      <w:r>
        <w:rPr>
          <w:lang w:val="en-US"/>
        </w:rPr>
        <w:t>)</w:t>
      </w:r>
      <w:r w:rsidRPr="00915CEC">
        <w:rPr>
          <w:lang w:val="en-US"/>
        </w:rPr>
        <w:t>.</w:t>
      </w:r>
      <w:r>
        <w:rPr>
          <w:lang w:val="en-US"/>
        </w:rPr>
        <w:t xml:space="preserve"> </w:t>
      </w:r>
      <w:r w:rsidRPr="00915CEC">
        <w:rPr>
          <w:lang w:val="en-US"/>
        </w:rPr>
        <w:t>Knowledge economies: clusters, learning and cooperative advantage. London: Routledge, 232 p.</w:t>
      </w:r>
    </w:p>
    <w:p w14:paraId="689948B2" w14:textId="7B6DC272" w:rsidR="006657F2" w:rsidRPr="00583C9A" w:rsidRDefault="006657F2" w:rsidP="006657F2">
      <w:pPr>
        <w:pStyle w:val="a3"/>
        <w:rPr>
          <w:lang w:val="en-US"/>
        </w:rPr>
      </w:pPr>
      <w:r w:rsidRPr="00915CEC">
        <w:rPr>
          <w:lang w:val="en-US"/>
        </w:rPr>
        <w:t xml:space="preserve">Crespi G., Katz J., Olivari J. </w:t>
      </w:r>
      <w:r>
        <w:rPr>
          <w:lang w:val="en-US"/>
        </w:rPr>
        <w:t>(</w:t>
      </w:r>
      <w:r w:rsidRPr="00B021D7">
        <w:rPr>
          <w:lang w:val="en-US"/>
        </w:rPr>
        <w:t>2018</w:t>
      </w:r>
      <w:r>
        <w:rPr>
          <w:lang w:val="en-US"/>
        </w:rPr>
        <w:t>)</w:t>
      </w:r>
      <w:r w:rsidRPr="00B021D7">
        <w:rPr>
          <w:lang w:val="en-US"/>
        </w:rPr>
        <w:t xml:space="preserve">. </w:t>
      </w:r>
      <w:r w:rsidRPr="00915CEC">
        <w:rPr>
          <w:lang w:val="en-US"/>
        </w:rPr>
        <w:t>Innovation, natural resource-based activities and growth in emerging economies: the formation and role of knowledge-intensive service firms</w:t>
      </w:r>
      <w:r>
        <w:rPr>
          <w:lang w:val="en-US"/>
        </w:rPr>
        <w:t>.</w:t>
      </w:r>
      <w:r w:rsidRPr="00915CEC">
        <w:rPr>
          <w:lang w:val="en-US"/>
        </w:rPr>
        <w:t xml:space="preserve"> </w:t>
      </w:r>
      <w:r w:rsidRPr="000E3B81">
        <w:rPr>
          <w:i/>
          <w:iCs/>
          <w:lang w:val="en-US"/>
        </w:rPr>
        <w:t>Innovation and Development</w:t>
      </w:r>
      <w:r w:rsidRPr="00583C9A">
        <w:rPr>
          <w:lang w:val="en-US"/>
        </w:rPr>
        <w:t xml:space="preserve">, 8(1), </w:t>
      </w:r>
      <w:r w:rsidR="000B2AA4">
        <w:rPr>
          <w:lang w:val="en-US"/>
        </w:rPr>
        <w:t>p</w:t>
      </w:r>
      <w:r>
        <w:rPr>
          <w:lang w:val="en-US"/>
        </w:rPr>
        <w:t>p</w:t>
      </w:r>
      <w:r w:rsidRPr="00583C9A">
        <w:rPr>
          <w:lang w:val="en-US"/>
        </w:rPr>
        <w:t xml:space="preserve">. 79–101. </w:t>
      </w:r>
      <w:r w:rsidRPr="00B021D7">
        <w:rPr>
          <w:lang w:val="en-US"/>
        </w:rPr>
        <w:t>https</w:t>
      </w:r>
      <w:r w:rsidRPr="00583C9A">
        <w:rPr>
          <w:lang w:val="en-US"/>
        </w:rPr>
        <w:t>://</w:t>
      </w:r>
      <w:r w:rsidRPr="00B021D7">
        <w:rPr>
          <w:lang w:val="en-US"/>
        </w:rPr>
        <w:t>doi</w:t>
      </w:r>
      <w:r w:rsidRPr="00583C9A">
        <w:rPr>
          <w:lang w:val="en-US"/>
        </w:rPr>
        <w:t>.</w:t>
      </w:r>
      <w:r w:rsidRPr="00B021D7">
        <w:rPr>
          <w:lang w:val="en-US"/>
        </w:rPr>
        <w:t>org</w:t>
      </w:r>
      <w:r w:rsidRPr="00583C9A">
        <w:rPr>
          <w:lang w:val="en-US"/>
        </w:rPr>
        <w:t>/10.1080/2157930</w:t>
      </w:r>
      <w:r w:rsidRPr="00B021D7">
        <w:rPr>
          <w:lang w:val="en-US"/>
        </w:rPr>
        <w:t>X</w:t>
      </w:r>
      <w:r w:rsidRPr="00583C9A">
        <w:rPr>
          <w:lang w:val="en-US"/>
        </w:rPr>
        <w:t>.2017.1377387.</w:t>
      </w:r>
    </w:p>
    <w:p w14:paraId="50D89A4E" w14:textId="5BB397C0" w:rsidR="00583C9A" w:rsidRPr="00915CEC" w:rsidRDefault="00583C9A" w:rsidP="00583C9A">
      <w:pPr>
        <w:pStyle w:val="a3"/>
        <w:rPr>
          <w:lang w:val="en-US"/>
        </w:rPr>
      </w:pPr>
      <w:r w:rsidRPr="00915CEC">
        <w:rPr>
          <w:lang w:val="en-US"/>
        </w:rPr>
        <w:t xml:space="preserve">Figueiredo P., Piana J. </w:t>
      </w:r>
      <w:r>
        <w:rPr>
          <w:lang w:val="en-US"/>
        </w:rPr>
        <w:t>(</w:t>
      </w:r>
      <w:r w:rsidRPr="00915CEC">
        <w:rPr>
          <w:lang w:val="en-US"/>
        </w:rPr>
        <w:t>2016</w:t>
      </w:r>
      <w:r>
        <w:rPr>
          <w:lang w:val="en-US"/>
        </w:rPr>
        <w:t>)</w:t>
      </w:r>
      <w:r w:rsidRPr="00915CEC">
        <w:rPr>
          <w:lang w:val="en-US"/>
        </w:rPr>
        <w:t>.</w:t>
      </w:r>
      <w:r>
        <w:rPr>
          <w:lang w:val="en-US"/>
        </w:rPr>
        <w:t xml:space="preserve"> </w:t>
      </w:r>
      <w:r w:rsidRPr="00915CEC">
        <w:rPr>
          <w:lang w:val="en-US"/>
        </w:rPr>
        <w:t>When “one thing (almost) leads to another”: a micro-level exploration of learning linkages in Brazil’s mining industry</w:t>
      </w:r>
      <w:r>
        <w:rPr>
          <w:lang w:val="en-US"/>
        </w:rPr>
        <w:t>.</w:t>
      </w:r>
      <w:r w:rsidRPr="00915CEC">
        <w:rPr>
          <w:lang w:val="en-US"/>
        </w:rPr>
        <w:t xml:space="preserve"> </w:t>
      </w:r>
      <w:r w:rsidRPr="000E3B81">
        <w:rPr>
          <w:i/>
          <w:iCs/>
          <w:lang w:val="en-US"/>
        </w:rPr>
        <w:t>Resources Policy</w:t>
      </w:r>
      <w:r>
        <w:rPr>
          <w:lang w:val="en-US"/>
        </w:rPr>
        <w:t>,</w:t>
      </w:r>
      <w:r w:rsidRPr="00915CEC">
        <w:rPr>
          <w:lang w:val="en-US"/>
        </w:rPr>
        <w:t xml:space="preserve"> 49</w:t>
      </w:r>
      <w:r>
        <w:rPr>
          <w:lang w:val="en-US"/>
        </w:rPr>
        <w:t xml:space="preserve">, </w:t>
      </w:r>
      <w:r w:rsidR="000B2AA4">
        <w:rPr>
          <w:lang w:val="en-US"/>
        </w:rPr>
        <w:t>p</w:t>
      </w:r>
      <w:r>
        <w:rPr>
          <w:lang w:val="en-US"/>
        </w:rPr>
        <w:t>p</w:t>
      </w:r>
      <w:r w:rsidRPr="00915CEC">
        <w:rPr>
          <w:lang w:val="en-US"/>
        </w:rPr>
        <w:t xml:space="preserve">. 405–414. </w:t>
      </w:r>
      <w:r w:rsidRPr="00B021D7">
        <w:rPr>
          <w:lang w:val="en-US"/>
        </w:rPr>
        <w:t>https://doi.org/</w:t>
      </w:r>
      <w:r w:rsidRPr="00915CEC">
        <w:rPr>
          <w:lang w:val="en-US"/>
        </w:rPr>
        <w:t>10.1016/j.resourpol.2016.07.008.</w:t>
      </w:r>
    </w:p>
    <w:p w14:paraId="20A48385" w14:textId="5862EC79" w:rsidR="00583C9A" w:rsidRPr="00B021D7" w:rsidRDefault="00583C9A" w:rsidP="00583C9A">
      <w:pPr>
        <w:pStyle w:val="a3"/>
        <w:rPr>
          <w:lang w:val="en-US"/>
        </w:rPr>
      </w:pPr>
      <w:r w:rsidRPr="00915CEC">
        <w:rPr>
          <w:lang w:val="en-US"/>
        </w:rPr>
        <w:t xml:space="preserve">Figueiredo P., Piana J. </w:t>
      </w:r>
      <w:r>
        <w:rPr>
          <w:lang w:val="en-US"/>
        </w:rPr>
        <w:t>(</w:t>
      </w:r>
      <w:r w:rsidRPr="00B021D7">
        <w:rPr>
          <w:lang w:val="en-US"/>
        </w:rPr>
        <w:t>2021</w:t>
      </w:r>
      <w:r>
        <w:rPr>
          <w:lang w:val="en-US"/>
        </w:rPr>
        <w:t>)</w:t>
      </w:r>
      <w:r w:rsidRPr="00B021D7">
        <w:rPr>
          <w:lang w:val="en-US"/>
        </w:rPr>
        <w:t>.</w:t>
      </w:r>
      <w:r>
        <w:rPr>
          <w:lang w:val="en-US"/>
        </w:rPr>
        <w:t xml:space="preserve"> </w:t>
      </w:r>
      <w:r w:rsidRPr="00915CEC">
        <w:rPr>
          <w:lang w:val="en-US"/>
        </w:rPr>
        <w:t>Technological learning strategies and technology upgrading intensity in the mining industry: evidence from Brazil</w:t>
      </w:r>
      <w:r>
        <w:rPr>
          <w:lang w:val="en-US"/>
        </w:rPr>
        <w:t>.</w:t>
      </w:r>
      <w:r w:rsidRPr="00915CEC">
        <w:rPr>
          <w:lang w:val="en-US"/>
        </w:rPr>
        <w:t xml:space="preserve"> </w:t>
      </w:r>
      <w:r w:rsidRPr="000E3B81">
        <w:rPr>
          <w:i/>
          <w:iCs/>
          <w:lang w:val="en-US"/>
        </w:rPr>
        <w:t>The Journal of Technology Transfer</w:t>
      </w:r>
      <w:r w:rsidRPr="00B021D7">
        <w:rPr>
          <w:lang w:val="en-US"/>
        </w:rPr>
        <w:t>, 46</w:t>
      </w:r>
      <w:r>
        <w:rPr>
          <w:lang w:val="en-US"/>
        </w:rPr>
        <w:t>,</w:t>
      </w:r>
      <w:r w:rsidRPr="00B021D7">
        <w:rPr>
          <w:lang w:val="en-US"/>
        </w:rPr>
        <w:t xml:space="preserve"> </w:t>
      </w:r>
      <w:r w:rsidR="000B2AA4">
        <w:rPr>
          <w:lang w:val="en-US"/>
        </w:rPr>
        <w:t>p</w:t>
      </w:r>
      <w:r>
        <w:rPr>
          <w:lang w:val="en-US"/>
        </w:rPr>
        <w:t>p</w:t>
      </w:r>
      <w:r w:rsidRPr="00B021D7">
        <w:rPr>
          <w:lang w:val="en-US"/>
        </w:rPr>
        <w:t>. 629–659. https://doi.org/10.1007/s10961-020-09810-9.</w:t>
      </w:r>
    </w:p>
    <w:p w14:paraId="21AD04F7" w14:textId="77777777" w:rsidR="00F826BC" w:rsidRPr="00C06E51" w:rsidRDefault="00F826BC" w:rsidP="00F826BC">
      <w:pPr>
        <w:pStyle w:val="a3"/>
        <w:rPr>
          <w:lang w:val="en-US"/>
        </w:rPr>
      </w:pPr>
      <w:r w:rsidRPr="00915CEC">
        <w:rPr>
          <w:lang w:val="en-US"/>
        </w:rPr>
        <w:t xml:space="preserve">Kryukov V.A., Tokarev A.N. </w:t>
      </w:r>
      <w:r>
        <w:rPr>
          <w:lang w:val="en-US"/>
        </w:rPr>
        <w:t>(</w:t>
      </w:r>
      <w:r w:rsidRPr="00C06E51">
        <w:rPr>
          <w:lang w:val="en-US"/>
        </w:rPr>
        <w:t>2018</w:t>
      </w:r>
      <w:r>
        <w:rPr>
          <w:lang w:val="en-US"/>
        </w:rPr>
        <w:t>)</w:t>
      </w:r>
      <w:r w:rsidRPr="00C06E51">
        <w:rPr>
          <w:lang w:val="en-US"/>
        </w:rPr>
        <w:t xml:space="preserve">. </w:t>
      </w:r>
      <w:r w:rsidRPr="00915CEC">
        <w:rPr>
          <w:lang w:val="en-US"/>
        </w:rPr>
        <w:t>Spatial Dynamics of the Oil and Gas Field Services Sector: Global Trends and Lessons for Russia</w:t>
      </w:r>
      <w:r>
        <w:rPr>
          <w:lang w:val="en-US"/>
        </w:rPr>
        <w:t>.</w:t>
      </w:r>
      <w:r w:rsidRPr="00915CEC">
        <w:rPr>
          <w:lang w:val="en-US"/>
        </w:rPr>
        <w:t xml:space="preserve"> </w:t>
      </w:r>
      <w:r w:rsidRPr="000E3B81">
        <w:rPr>
          <w:i/>
          <w:iCs/>
          <w:lang w:val="en-US"/>
        </w:rPr>
        <w:t>Regional Research of Russia</w:t>
      </w:r>
      <w:r>
        <w:rPr>
          <w:lang w:val="en-US"/>
        </w:rPr>
        <w:t>,</w:t>
      </w:r>
      <w:r w:rsidRPr="00C06E51">
        <w:rPr>
          <w:lang w:val="en-US"/>
        </w:rPr>
        <w:t xml:space="preserve"> 8(3)</w:t>
      </w:r>
      <w:r>
        <w:rPr>
          <w:lang w:val="en-US"/>
        </w:rPr>
        <w:t>,</w:t>
      </w:r>
      <w:r w:rsidRPr="00C06E51">
        <w:rPr>
          <w:lang w:val="en-US"/>
        </w:rPr>
        <w:t xml:space="preserve"> </w:t>
      </w:r>
      <w:r>
        <w:rPr>
          <w:lang w:val="en-US"/>
        </w:rPr>
        <w:t>pp</w:t>
      </w:r>
      <w:r w:rsidRPr="00C06E51">
        <w:rPr>
          <w:lang w:val="en-US"/>
        </w:rPr>
        <w:t>. 248–257. https://doi.org/10.1134/S2079970518030036.</w:t>
      </w:r>
    </w:p>
    <w:p w14:paraId="418A6664" w14:textId="412E004E" w:rsidR="00583C9A" w:rsidRPr="00915CEC" w:rsidRDefault="00583C9A" w:rsidP="00583C9A">
      <w:pPr>
        <w:pStyle w:val="a3"/>
        <w:rPr>
          <w:lang w:val="en-US"/>
        </w:rPr>
      </w:pPr>
      <w:r w:rsidRPr="00915CEC">
        <w:rPr>
          <w:lang w:val="en-US"/>
        </w:rPr>
        <w:t xml:space="preserve">Kryukov V.A., Tokarev A.N. </w:t>
      </w:r>
      <w:r>
        <w:rPr>
          <w:lang w:val="en-US"/>
        </w:rPr>
        <w:t>(</w:t>
      </w:r>
      <w:r w:rsidRPr="00915CEC">
        <w:rPr>
          <w:lang w:val="en-US"/>
        </w:rPr>
        <w:t>2023</w:t>
      </w:r>
      <w:r>
        <w:rPr>
          <w:lang w:val="en-US"/>
        </w:rPr>
        <w:t>)</w:t>
      </w:r>
      <w:r w:rsidRPr="00915CEC">
        <w:rPr>
          <w:lang w:val="en-US"/>
        </w:rPr>
        <w:t>.</w:t>
      </w:r>
      <w:r>
        <w:rPr>
          <w:lang w:val="en-US"/>
        </w:rPr>
        <w:t xml:space="preserve"> </w:t>
      </w:r>
      <w:r w:rsidRPr="00915CEC">
        <w:rPr>
          <w:lang w:val="en-US"/>
        </w:rPr>
        <w:t>Innovative-Resource Directions of Industrial Development: The Example of the South of the Tyumen Oblast</w:t>
      </w:r>
      <w:r>
        <w:rPr>
          <w:lang w:val="en-US"/>
        </w:rPr>
        <w:t>.</w:t>
      </w:r>
      <w:r w:rsidRPr="00915CEC">
        <w:rPr>
          <w:lang w:val="en-US"/>
        </w:rPr>
        <w:t xml:space="preserve"> </w:t>
      </w:r>
      <w:r w:rsidRPr="000E3B81">
        <w:rPr>
          <w:i/>
          <w:iCs/>
          <w:lang w:val="en-US"/>
        </w:rPr>
        <w:t>Studies on Russian Economic Development</w:t>
      </w:r>
      <w:r>
        <w:rPr>
          <w:lang w:val="en-US"/>
        </w:rPr>
        <w:t>,</w:t>
      </w:r>
      <w:r w:rsidRPr="00915CEC">
        <w:rPr>
          <w:lang w:val="en-US"/>
        </w:rPr>
        <w:t xml:space="preserve"> 34</w:t>
      </w:r>
      <w:r>
        <w:rPr>
          <w:lang w:val="en-US"/>
        </w:rPr>
        <w:t>(</w:t>
      </w:r>
      <w:r w:rsidRPr="00915CEC">
        <w:rPr>
          <w:lang w:val="en-US"/>
        </w:rPr>
        <w:t>1</w:t>
      </w:r>
      <w:r>
        <w:rPr>
          <w:lang w:val="en-US"/>
        </w:rPr>
        <w:t>),</w:t>
      </w:r>
      <w:r w:rsidRPr="00915CEC">
        <w:rPr>
          <w:lang w:val="en-US"/>
        </w:rPr>
        <w:t xml:space="preserve"> </w:t>
      </w:r>
      <w:r w:rsidR="000B2AA4">
        <w:rPr>
          <w:lang w:val="en-US"/>
        </w:rPr>
        <w:t>p</w:t>
      </w:r>
      <w:r>
        <w:rPr>
          <w:lang w:val="en-US"/>
        </w:rPr>
        <w:t>p</w:t>
      </w:r>
      <w:r w:rsidRPr="00915CEC">
        <w:rPr>
          <w:lang w:val="en-US"/>
        </w:rPr>
        <w:t xml:space="preserve">. 25–32. </w:t>
      </w:r>
      <w:r w:rsidRPr="00923E2E">
        <w:rPr>
          <w:lang w:val="en-US"/>
        </w:rPr>
        <w:t>https://doi.org/</w:t>
      </w:r>
      <w:r w:rsidRPr="00915CEC">
        <w:rPr>
          <w:lang w:val="en-US"/>
        </w:rPr>
        <w:t>10.1134/S1075700723010100.</w:t>
      </w:r>
    </w:p>
    <w:p w14:paraId="54EA1293" w14:textId="3818BC83" w:rsidR="00915CEC" w:rsidRPr="00281A8E" w:rsidRDefault="00915CEC" w:rsidP="00915CEC">
      <w:pPr>
        <w:pStyle w:val="a3"/>
        <w:rPr>
          <w:color w:val="0000FF"/>
          <w:lang w:val="en-US"/>
        </w:rPr>
      </w:pPr>
      <w:r w:rsidRPr="00915CEC">
        <w:rPr>
          <w:lang w:val="en-US"/>
        </w:rPr>
        <w:lastRenderedPageBreak/>
        <w:t xml:space="preserve">Kryukov V.A., Tokarev A.N. </w:t>
      </w:r>
      <w:r w:rsidR="00B021D7">
        <w:rPr>
          <w:lang w:val="en-US"/>
        </w:rPr>
        <w:t>(</w:t>
      </w:r>
      <w:r w:rsidR="00B021D7" w:rsidRPr="00915CEC">
        <w:rPr>
          <w:lang w:val="en-US"/>
        </w:rPr>
        <w:t>2024</w:t>
      </w:r>
      <w:r w:rsidR="00B021D7">
        <w:rPr>
          <w:lang w:val="en-US"/>
        </w:rPr>
        <w:t>)</w:t>
      </w:r>
      <w:r w:rsidR="00B021D7" w:rsidRPr="00915CEC">
        <w:rPr>
          <w:lang w:val="en-US"/>
        </w:rPr>
        <w:t xml:space="preserve">. </w:t>
      </w:r>
      <w:r w:rsidRPr="00915CEC">
        <w:rPr>
          <w:lang w:val="en-US"/>
        </w:rPr>
        <w:t>Opportunities for the Development of Tyumen Oblast Based on Innovations for the Oil and Gas Sector, Production of High-Tech Equipment, and High-Tech Services</w:t>
      </w:r>
      <w:r w:rsidR="00B021D7">
        <w:rPr>
          <w:lang w:val="en-US"/>
        </w:rPr>
        <w:t>.</w:t>
      </w:r>
      <w:r w:rsidRPr="00915CEC">
        <w:rPr>
          <w:lang w:val="en-US"/>
        </w:rPr>
        <w:t xml:space="preserve"> </w:t>
      </w:r>
      <w:r w:rsidRPr="000E3B81">
        <w:rPr>
          <w:i/>
          <w:iCs/>
          <w:lang w:val="en-US"/>
        </w:rPr>
        <w:t>Regional Research of Russia</w:t>
      </w:r>
      <w:r w:rsidR="00B021D7">
        <w:rPr>
          <w:lang w:val="en-US"/>
        </w:rPr>
        <w:t>,</w:t>
      </w:r>
      <w:r w:rsidRPr="00915CEC">
        <w:rPr>
          <w:lang w:val="en-US"/>
        </w:rPr>
        <w:t xml:space="preserve"> 14</w:t>
      </w:r>
      <w:r w:rsidR="00B021D7">
        <w:rPr>
          <w:lang w:val="en-US"/>
        </w:rPr>
        <w:t>(</w:t>
      </w:r>
      <w:r w:rsidRPr="00915CEC">
        <w:rPr>
          <w:lang w:val="en-US"/>
        </w:rPr>
        <w:t>1</w:t>
      </w:r>
      <w:r w:rsidR="00B021D7">
        <w:rPr>
          <w:lang w:val="en-US"/>
        </w:rPr>
        <w:t xml:space="preserve">), </w:t>
      </w:r>
      <w:r w:rsidR="000B2AA4">
        <w:rPr>
          <w:lang w:val="en-US"/>
        </w:rPr>
        <w:t>p</w:t>
      </w:r>
      <w:r w:rsidR="00B021D7">
        <w:rPr>
          <w:lang w:val="en-US"/>
        </w:rPr>
        <w:t>p</w:t>
      </w:r>
      <w:r w:rsidRPr="00915CEC">
        <w:rPr>
          <w:lang w:val="en-US"/>
        </w:rPr>
        <w:t xml:space="preserve">. 77–85. </w:t>
      </w:r>
      <w:r w:rsidR="00821644" w:rsidRPr="00B021D7">
        <w:rPr>
          <w:lang w:val="en-US"/>
        </w:rPr>
        <w:t>https://doi.org/</w:t>
      </w:r>
      <w:r w:rsidRPr="00915CEC">
        <w:rPr>
          <w:lang w:val="en-US"/>
        </w:rPr>
        <w:t>10.1134/</w:t>
      </w:r>
      <w:r w:rsidRPr="00281A8E">
        <w:rPr>
          <w:color w:val="0000FF"/>
          <w:lang w:val="en-US"/>
        </w:rPr>
        <w:t>S2079970523600373.</w:t>
      </w:r>
    </w:p>
    <w:p w14:paraId="772F4A8A" w14:textId="2A967EE4" w:rsidR="00583C9A" w:rsidRPr="00B021D7" w:rsidRDefault="00583C9A" w:rsidP="00583C9A">
      <w:pPr>
        <w:pStyle w:val="a3"/>
        <w:rPr>
          <w:lang w:val="en-US"/>
        </w:rPr>
      </w:pPr>
      <w:r w:rsidRPr="00281A8E">
        <w:rPr>
          <w:color w:val="0000FF"/>
          <w:lang w:val="en-US"/>
        </w:rPr>
        <w:t xml:space="preserve">Thomas </w:t>
      </w:r>
      <w:r w:rsidRPr="00915CEC">
        <w:rPr>
          <w:lang w:val="en-US"/>
        </w:rPr>
        <w:t xml:space="preserve">M., Pidgeon N., Bradshaw M. </w:t>
      </w:r>
      <w:r>
        <w:rPr>
          <w:lang w:val="en-US"/>
        </w:rPr>
        <w:t>(</w:t>
      </w:r>
      <w:r w:rsidRPr="00B021D7">
        <w:rPr>
          <w:lang w:val="en-US"/>
        </w:rPr>
        <w:t>2018</w:t>
      </w:r>
      <w:r>
        <w:rPr>
          <w:lang w:val="en-US"/>
        </w:rPr>
        <w:t>)</w:t>
      </w:r>
      <w:r w:rsidRPr="00B021D7">
        <w:rPr>
          <w:lang w:val="en-US"/>
        </w:rPr>
        <w:t>.</w:t>
      </w:r>
      <w:r>
        <w:rPr>
          <w:lang w:val="en-US"/>
        </w:rPr>
        <w:t xml:space="preserve"> </w:t>
      </w:r>
      <w:r w:rsidRPr="00915CEC">
        <w:rPr>
          <w:lang w:val="en-US"/>
        </w:rPr>
        <w:t>Shale development in the US and Canada: A review of engagement practice</w:t>
      </w:r>
      <w:r>
        <w:rPr>
          <w:lang w:val="en-US"/>
        </w:rPr>
        <w:t>.</w:t>
      </w:r>
      <w:r w:rsidRPr="00915CEC">
        <w:rPr>
          <w:lang w:val="en-US"/>
        </w:rPr>
        <w:t xml:space="preserve"> </w:t>
      </w:r>
      <w:r w:rsidRPr="000E3B81">
        <w:rPr>
          <w:i/>
          <w:iCs/>
          <w:lang w:val="en-US"/>
        </w:rPr>
        <w:t>The Extractive Industries and Society</w:t>
      </w:r>
      <w:r>
        <w:rPr>
          <w:lang w:val="en-US"/>
        </w:rPr>
        <w:t>,</w:t>
      </w:r>
      <w:r w:rsidRPr="00915CEC">
        <w:rPr>
          <w:lang w:val="en-US"/>
        </w:rPr>
        <w:t xml:space="preserve"> </w:t>
      </w:r>
      <w:r w:rsidRPr="00B021D7">
        <w:rPr>
          <w:lang w:val="en-US"/>
        </w:rPr>
        <w:t>5(4)</w:t>
      </w:r>
      <w:r>
        <w:rPr>
          <w:lang w:val="en-US"/>
        </w:rPr>
        <w:t>,</w:t>
      </w:r>
      <w:r w:rsidRPr="00B021D7">
        <w:rPr>
          <w:lang w:val="en-US"/>
        </w:rPr>
        <w:t xml:space="preserve"> </w:t>
      </w:r>
      <w:r w:rsidR="000B2AA4">
        <w:rPr>
          <w:lang w:val="en-US"/>
        </w:rPr>
        <w:t>p</w:t>
      </w:r>
      <w:r>
        <w:rPr>
          <w:lang w:val="en-US"/>
        </w:rPr>
        <w:t>p</w:t>
      </w:r>
      <w:r w:rsidRPr="00B021D7">
        <w:rPr>
          <w:lang w:val="en-US"/>
        </w:rPr>
        <w:t>. 557–569. https://doi.org/10.1016/j.exis.2018.07.011.</w:t>
      </w:r>
    </w:p>
    <w:p w14:paraId="61682AD3" w14:textId="77777777" w:rsidR="00583C9A" w:rsidRPr="00971F8D" w:rsidRDefault="00583C9A" w:rsidP="00746BE5">
      <w:pPr>
        <w:pStyle w:val="a3"/>
        <w:rPr>
          <w:lang w:val="en-US"/>
        </w:rPr>
      </w:pPr>
    </w:p>
    <w:p w14:paraId="05CEEE04" w14:textId="77777777" w:rsidR="00E47C0D" w:rsidRPr="006F07DE" w:rsidRDefault="00E47C0D" w:rsidP="00E47C0D">
      <w:pPr>
        <w:pStyle w:val="a8"/>
        <w:tabs>
          <w:tab w:val="left" w:pos="0"/>
        </w:tabs>
        <w:ind w:left="0" w:right="31" w:firstLine="567"/>
        <w:rPr>
          <w:b/>
          <w:szCs w:val="28"/>
        </w:rPr>
      </w:pPr>
      <w:r w:rsidRPr="006F07DE">
        <w:rPr>
          <w:b/>
          <w:szCs w:val="28"/>
        </w:rPr>
        <w:t>Сведения об авторах</w:t>
      </w:r>
    </w:p>
    <w:p w14:paraId="6E8DBCEF" w14:textId="77777777" w:rsidR="00E47C0D" w:rsidRPr="0000054C" w:rsidRDefault="00E47C0D" w:rsidP="00E47C0D">
      <w:pPr>
        <w:rPr>
          <w:rFonts w:cs="Times New Roman"/>
          <w:szCs w:val="28"/>
        </w:rPr>
      </w:pPr>
      <w:r w:rsidRPr="0000054C">
        <w:rPr>
          <w:rFonts w:cs="Times New Roman"/>
          <w:szCs w:val="28"/>
        </w:rPr>
        <w:t>Валерий Анатольевич Крюков – доктор экон. наук,</w:t>
      </w:r>
      <w:r>
        <w:rPr>
          <w:rFonts w:cs="Times New Roman"/>
          <w:szCs w:val="28"/>
        </w:rPr>
        <w:t xml:space="preserve"> </w:t>
      </w:r>
      <w:r w:rsidRPr="0000054C">
        <w:rPr>
          <w:rFonts w:cs="Times New Roman"/>
          <w:szCs w:val="28"/>
        </w:rPr>
        <w:t>профессор, академик РАН, директор Института экономики и организации промышленного производства</w:t>
      </w:r>
      <w:r>
        <w:rPr>
          <w:rFonts w:cs="Times New Roman"/>
          <w:szCs w:val="28"/>
        </w:rPr>
        <w:t xml:space="preserve"> </w:t>
      </w:r>
      <w:r w:rsidRPr="0000054C">
        <w:rPr>
          <w:rFonts w:cs="Times New Roman"/>
          <w:szCs w:val="28"/>
        </w:rPr>
        <w:t>Сибирского отделения РАН</w:t>
      </w:r>
    </w:p>
    <w:p w14:paraId="4E96007A" w14:textId="77777777" w:rsidR="00E47C0D" w:rsidRDefault="00E47C0D" w:rsidP="00E47C0D">
      <w:pPr>
        <w:rPr>
          <w:rFonts w:cs="Times New Roman"/>
          <w:szCs w:val="28"/>
        </w:rPr>
      </w:pPr>
      <w:r w:rsidRPr="0000054C">
        <w:rPr>
          <w:rFonts w:cs="Times New Roman"/>
          <w:szCs w:val="28"/>
        </w:rPr>
        <w:t>Россия, 630090, Новосибирск, пр. Ак. Лаврентьева, д.17</w:t>
      </w:r>
    </w:p>
    <w:p w14:paraId="6B9D38A3" w14:textId="77777777" w:rsidR="00E47C0D" w:rsidRDefault="00E47C0D" w:rsidP="00E47C0D">
      <w:pPr>
        <w:rPr>
          <w:rFonts w:cs="Times New Roman"/>
          <w:szCs w:val="28"/>
          <w:lang w:val="en-US"/>
        </w:rPr>
      </w:pPr>
      <w:r w:rsidRPr="0000054C">
        <w:rPr>
          <w:rFonts w:cs="Times New Roman"/>
          <w:szCs w:val="28"/>
          <w:lang w:val="en-US"/>
        </w:rPr>
        <w:t>E-mail: kryukov@ieie.nsc.ru</w:t>
      </w:r>
    </w:p>
    <w:p w14:paraId="0992A9C6" w14:textId="208AC722" w:rsidR="00E47C0D" w:rsidRDefault="00E47C0D" w:rsidP="00E47C0D">
      <w:pPr>
        <w:rPr>
          <w:rFonts w:cs="Times New Roman"/>
          <w:szCs w:val="28"/>
          <w:lang w:val="en-US"/>
        </w:rPr>
      </w:pPr>
    </w:p>
    <w:p w14:paraId="42BD0F99" w14:textId="01E65E15" w:rsidR="00E47C0D" w:rsidRPr="0000054C" w:rsidRDefault="00E47C0D" w:rsidP="00E47C0D">
      <w:pPr>
        <w:rPr>
          <w:rFonts w:cs="Times New Roman"/>
          <w:szCs w:val="28"/>
        </w:rPr>
      </w:pPr>
      <w:r w:rsidRPr="0000054C">
        <w:rPr>
          <w:rFonts w:cs="Times New Roman"/>
          <w:szCs w:val="28"/>
        </w:rPr>
        <w:t>Анатол</w:t>
      </w:r>
      <w:r w:rsidRPr="00E47C0D">
        <w:rPr>
          <w:rFonts w:cs="Times New Roman"/>
          <w:szCs w:val="28"/>
        </w:rPr>
        <w:t>ий Николаевич Токарев</w:t>
      </w:r>
      <w:r w:rsidRPr="0000054C">
        <w:rPr>
          <w:rFonts w:cs="Times New Roman"/>
          <w:szCs w:val="28"/>
        </w:rPr>
        <w:t xml:space="preserve"> – доктор экон. наук,</w:t>
      </w:r>
      <w:r>
        <w:rPr>
          <w:rFonts w:cs="Times New Roman"/>
          <w:szCs w:val="28"/>
        </w:rPr>
        <w:t xml:space="preserve"> зав. Центром ресурсной экономики </w:t>
      </w:r>
      <w:r w:rsidRPr="0000054C">
        <w:rPr>
          <w:rFonts w:cs="Times New Roman"/>
          <w:szCs w:val="28"/>
        </w:rPr>
        <w:t>Института экономики и организации промышленного производства</w:t>
      </w:r>
      <w:r>
        <w:rPr>
          <w:rFonts w:cs="Times New Roman"/>
          <w:szCs w:val="28"/>
        </w:rPr>
        <w:t xml:space="preserve"> </w:t>
      </w:r>
      <w:r w:rsidRPr="0000054C">
        <w:rPr>
          <w:rFonts w:cs="Times New Roman"/>
          <w:szCs w:val="28"/>
        </w:rPr>
        <w:t>Сибирского отделения РАН</w:t>
      </w:r>
    </w:p>
    <w:p w14:paraId="6A0C3254" w14:textId="77777777" w:rsidR="00E47C0D" w:rsidRDefault="00E47C0D" w:rsidP="00E47C0D">
      <w:pPr>
        <w:rPr>
          <w:rFonts w:cs="Times New Roman"/>
          <w:szCs w:val="28"/>
        </w:rPr>
      </w:pPr>
      <w:r w:rsidRPr="0000054C">
        <w:rPr>
          <w:rFonts w:cs="Times New Roman"/>
          <w:szCs w:val="28"/>
        </w:rPr>
        <w:t>Россия, 630090, Новосибирск, пр. Ак. Лаврентьева, д.17</w:t>
      </w:r>
    </w:p>
    <w:p w14:paraId="70F3A0DF" w14:textId="6BCF3F67" w:rsidR="00E47C0D" w:rsidRPr="00BA666C" w:rsidRDefault="00E47C0D" w:rsidP="00E47C0D">
      <w:pPr>
        <w:rPr>
          <w:rFonts w:cs="Times New Roman"/>
          <w:szCs w:val="28"/>
        </w:rPr>
      </w:pPr>
      <w:r w:rsidRPr="0000054C">
        <w:rPr>
          <w:rFonts w:cs="Times New Roman"/>
          <w:szCs w:val="28"/>
          <w:lang w:val="en-US"/>
        </w:rPr>
        <w:t>E</w:t>
      </w:r>
      <w:r w:rsidRPr="00BA666C">
        <w:rPr>
          <w:rFonts w:cs="Times New Roman"/>
          <w:szCs w:val="28"/>
        </w:rPr>
        <w:t>-</w:t>
      </w:r>
      <w:r w:rsidRPr="0000054C">
        <w:rPr>
          <w:rFonts w:cs="Times New Roman"/>
          <w:szCs w:val="28"/>
          <w:lang w:val="en-US"/>
        </w:rPr>
        <w:t>mail</w:t>
      </w:r>
      <w:r w:rsidRPr="00BA666C">
        <w:rPr>
          <w:rFonts w:cs="Times New Roman"/>
          <w:szCs w:val="28"/>
        </w:rPr>
        <w:t xml:space="preserve">: </w:t>
      </w:r>
      <w:r w:rsidRPr="00E47C0D">
        <w:rPr>
          <w:rFonts w:cs="Times New Roman"/>
          <w:szCs w:val="28"/>
          <w:lang w:val="en-US"/>
        </w:rPr>
        <w:t>Anatoli</w:t>
      </w:r>
      <w:r w:rsidRPr="00BA666C">
        <w:rPr>
          <w:rFonts w:cs="Times New Roman"/>
          <w:szCs w:val="28"/>
        </w:rPr>
        <w:t>-3@</w:t>
      </w:r>
      <w:r w:rsidRPr="00E47C0D">
        <w:rPr>
          <w:rFonts w:cs="Times New Roman"/>
          <w:szCs w:val="28"/>
          <w:lang w:val="en-US"/>
        </w:rPr>
        <w:t>yandex</w:t>
      </w:r>
      <w:r w:rsidRPr="00BA666C">
        <w:rPr>
          <w:rFonts w:cs="Times New Roman"/>
          <w:szCs w:val="28"/>
        </w:rPr>
        <w:t>.</w:t>
      </w:r>
      <w:r w:rsidRPr="00E47C0D">
        <w:rPr>
          <w:rFonts w:cs="Times New Roman"/>
          <w:szCs w:val="28"/>
          <w:lang w:val="en-US"/>
        </w:rPr>
        <w:t>ru</w:t>
      </w:r>
    </w:p>
    <w:p w14:paraId="2974AE66" w14:textId="77777777" w:rsidR="00E47C0D" w:rsidRPr="00BA666C" w:rsidRDefault="00E47C0D" w:rsidP="00E47C0D">
      <w:pPr>
        <w:rPr>
          <w:rFonts w:cs="Times New Roman"/>
          <w:szCs w:val="28"/>
        </w:rPr>
      </w:pPr>
    </w:p>
    <w:p w14:paraId="5A87BB6A" w14:textId="77777777" w:rsidR="00E47C0D" w:rsidRPr="000A3A80" w:rsidRDefault="00E47C0D" w:rsidP="00E47C0D">
      <w:pPr>
        <w:rPr>
          <w:rFonts w:cs="Times New Roman"/>
          <w:szCs w:val="28"/>
        </w:rPr>
      </w:pPr>
      <w:r w:rsidRPr="000A3A80">
        <w:rPr>
          <w:rFonts w:cs="Times New Roman"/>
          <w:szCs w:val="28"/>
        </w:rPr>
        <w:t>Екатерина Алексеевна Дубовицкая – кандидат экон. наук, начальник управления технико-экономической оценки ООО «Индженикс Груп»</w:t>
      </w:r>
    </w:p>
    <w:p w14:paraId="242DAAF9" w14:textId="77777777" w:rsidR="00E47C0D" w:rsidRPr="00E47C0D" w:rsidRDefault="00E47C0D" w:rsidP="00E47C0D">
      <w:pPr>
        <w:rPr>
          <w:rFonts w:cs="Times New Roman"/>
          <w:szCs w:val="28"/>
        </w:rPr>
      </w:pPr>
      <w:r w:rsidRPr="00E47C0D">
        <w:rPr>
          <w:rFonts w:cs="Times New Roman"/>
          <w:szCs w:val="28"/>
        </w:rPr>
        <w:t xml:space="preserve">Россия, 117071, Москва, Ленинский проспект, </w:t>
      </w:r>
      <w:r>
        <w:rPr>
          <w:rFonts w:cs="Times New Roman"/>
          <w:szCs w:val="28"/>
        </w:rPr>
        <w:t>д</w:t>
      </w:r>
      <w:r w:rsidRPr="00E47C0D">
        <w:rPr>
          <w:rFonts w:cs="Times New Roman"/>
          <w:szCs w:val="28"/>
        </w:rPr>
        <w:t>. 15А</w:t>
      </w:r>
    </w:p>
    <w:p w14:paraId="0704E7A8" w14:textId="77777777" w:rsidR="00E47C0D" w:rsidRPr="000A3A80" w:rsidRDefault="00E47C0D" w:rsidP="00E47C0D">
      <w:pPr>
        <w:rPr>
          <w:rFonts w:cs="Times New Roman"/>
          <w:szCs w:val="28"/>
          <w:lang w:val="en-US"/>
        </w:rPr>
      </w:pPr>
      <w:r w:rsidRPr="000A3A80">
        <w:rPr>
          <w:rFonts w:cs="Times New Roman"/>
          <w:szCs w:val="28"/>
          <w:lang w:val="en-US"/>
        </w:rPr>
        <w:t>E-mail: e.dubovitskaya@ingenix-group.ru</w:t>
      </w:r>
    </w:p>
    <w:p w14:paraId="6237B94C" w14:textId="39647BE6" w:rsidR="00E47C0D" w:rsidRDefault="00E47C0D" w:rsidP="00E47C0D">
      <w:pPr>
        <w:rPr>
          <w:rFonts w:cs="Times New Roman"/>
          <w:szCs w:val="28"/>
          <w:lang w:val="en-US"/>
        </w:rPr>
      </w:pPr>
    </w:p>
    <w:p w14:paraId="7A8E8692" w14:textId="77777777" w:rsidR="00650AF8" w:rsidRPr="000A3A80" w:rsidRDefault="00650AF8" w:rsidP="00E47C0D">
      <w:pPr>
        <w:rPr>
          <w:rFonts w:cs="Times New Roman"/>
          <w:szCs w:val="28"/>
          <w:lang w:val="en-US"/>
        </w:rPr>
      </w:pPr>
    </w:p>
    <w:p w14:paraId="2BF0B62F" w14:textId="77777777" w:rsidR="00C73E62" w:rsidRDefault="00C73E62" w:rsidP="00C73E62">
      <w:pPr>
        <w:pStyle w:val="a3"/>
        <w:jc w:val="center"/>
        <w:rPr>
          <w:b/>
          <w:bCs/>
          <w:lang w:val="en-US"/>
        </w:rPr>
      </w:pPr>
      <w:r w:rsidRPr="003E4309">
        <w:rPr>
          <w:b/>
          <w:bCs/>
          <w:lang w:val="en-US"/>
        </w:rPr>
        <w:t>Development of high-tech gas production: new knowledge, modern technologies and flexible procedures f</w:t>
      </w:r>
      <w:r>
        <w:rPr>
          <w:b/>
          <w:bCs/>
          <w:lang w:val="en-US"/>
        </w:rPr>
        <w:t>or</w:t>
      </w:r>
      <w:r w:rsidRPr="003E4309">
        <w:rPr>
          <w:b/>
          <w:bCs/>
          <w:lang w:val="en-US"/>
        </w:rPr>
        <w:t xml:space="preserve"> indicative planning</w:t>
      </w:r>
    </w:p>
    <w:p w14:paraId="4C89E0AC" w14:textId="77777777" w:rsidR="00C73E62" w:rsidRPr="003E4309" w:rsidRDefault="00C73E62" w:rsidP="00C73E62">
      <w:pPr>
        <w:pStyle w:val="a3"/>
        <w:jc w:val="center"/>
        <w:rPr>
          <w:b/>
          <w:bCs/>
          <w:lang w:val="en-US"/>
        </w:rPr>
      </w:pPr>
    </w:p>
    <w:p w14:paraId="607CF7C8" w14:textId="77777777" w:rsidR="00C73E62" w:rsidRPr="00030043" w:rsidRDefault="00C73E62" w:rsidP="00C73E62">
      <w:pPr>
        <w:pStyle w:val="a3"/>
        <w:jc w:val="center"/>
        <w:rPr>
          <w:lang w:val="en-US"/>
        </w:rPr>
      </w:pPr>
      <w:r>
        <w:rPr>
          <w:lang w:val="en-US"/>
        </w:rPr>
        <w:t>V</w:t>
      </w:r>
      <w:r w:rsidRPr="00030043">
        <w:rPr>
          <w:lang w:val="en-US"/>
        </w:rPr>
        <w:t>.</w:t>
      </w:r>
      <w:r w:rsidRPr="00F9217C">
        <w:t>А</w:t>
      </w:r>
      <w:r w:rsidRPr="00030043">
        <w:rPr>
          <w:lang w:val="en-US"/>
        </w:rPr>
        <w:t xml:space="preserve">. </w:t>
      </w:r>
      <w:r w:rsidRPr="00892C1C">
        <w:rPr>
          <w:lang w:val="en-US"/>
        </w:rPr>
        <w:t xml:space="preserve">Kryukov </w:t>
      </w:r>
      <w:r w:rsidRPr="00030043">
        <w:rPr>
          <w:vertAlign w:val="superscript"/>
          <w:lang w:val="en-US"/>
        </w:rPr>
        <w:t>1</w:t>
      </w:r>
      <w:r w:rsidRPr="00030043">
        <w:rPr>
          <w:lang w:val="en-US"/>
        </w:rPr>
        <w:t xml:space="preserve">, </w:t>
      </w:r>
      <w:r w:rsidRPr="00F9217C">
        <w:t>А</w:t>
      </w:r>
      <w:r w:rsidRPr="00030043">
        <w:rPr>
          <w:lang w:val="en-US"/>
        </w:rPr>
        <w:t>.</w:t>
      </w:r>
      <w:r>
        <w:rPr>
          <w:lang w:val="en-US"/>
        </w:rPr>
        <w:t>N</w:t>
      </w:r>
      <w:r w:rsidRPr="00030043">
        <w:rPr>
          <w:lang w:val="en-US"/>
        </w:rPr>
        <w:t xml:space="preserve">. </w:t>
      </w:r>
      <w:r w:rsidRPr="00F9217C">
        <w:t>То</w:t>
      </w:r>
      <w:r>
        <w:rPr>
          <w:lang w:val="en-US"/>
        </w:rPr>
        <w:t>k</w:t>
      </w:r>
      <w:r w:rsidRPr="00F9217C">
        <w:t>а</w:t>
      </w:r>
      <w:r>
        <w:rPr>
          <w:lang w:val="en-US"/>
        </w:rPr>
        <w:t>r</w:t>
      </w:r>
      <w:r w:rsidRPr="00F9217C">
        <w:t>е</w:t>
      </w:r>
      <w:r>
        <w:rPr>
          <w:lang w:val="en-US"/>
        </w:rPr>
        <w:t>v</w:t>
      </w:r>
      <w:r w:rsidRPr="00030043">
        <w:rPr>
          <w:vertAlign w:val="superscript"/>
          <w:lang w:val="en-US"/>
        </w:rPr>
        <w:t>1</w:t>
      </w:r>
      <w:r>
        <w:rPr>
          <w:vertAlign w:val="superscript"/>
          <w:lang w:val="en-US"/>
        </w:rPr>
        <w:t>*</w:t>
      </w:r>
      <w:r w:rsidRPr="00030043">
        <w:rPr>
          <w:lang w:val="en-US"/>
        </w:rPr>
        <w:t xml:space="preserve">, </w:t>
      </w:r>
      <w:r w:rsidRPr="00F9217C">
        <w:t>Е</w:t>
      </w:r>
      <w:r w:rsidRPr="00030043">
        <w:rPr>
          <w:lang w:val="en-US"/>
        </w:rPr>
        <w:t>.</w:t>
      </w:r>
      <w:r w:rsidRPr="00F9217C">
        <w:t>А</w:t>
      </w:r>
      <w:r w:rsidRPr="00030043">
        <w:rPr>
          <w:lang w:val="en-US"/>
        </w:rPr>
        <w:t xml:space="preserve">. </w:t>
      </w:r>
      <w:r>
        <w:rPr>
          <w:lang w:val="en-US"/>
        </w:rPr>
        <w:t>D</w:t>
      </w:r>
      <w:r w:rsidRPr="00892C1C">
        <w:rPr>
          <w:lang w:val="en-US"/>
        </w:rPr>
        <w:t xml:space="preserve">ubovitskaya </w:t>
      </w:r>
      <w:r w:rsidRPr="00030043">
        <w:rPr>
          <w:vertAlign w:val="superscript"/>
          <w:lang w:val="en-US"/>
        </w:rPr>
        <w:t>2</w:t>
      </w:r>
      <w:r w:rsidRPr="00030043">
        <w:rPr>
          <w:lang w:val="en-US"/>
        </w:rPr>
        <w:t xml:space="preserve"> </w:t>
      </w:r>
    </w:p>
    <w:p w14:paraId="353A9091" w14:textId="77777777" w:rsidR="00C73E62" w:rsidRPr="00A711B7" w:rsidRDefault="00C73E62" w:rsidP="00C73E62">
      <w:pPr>
        <w:pStyle w:val="a3"/>
        <w:jc w:val="left"/>
        <w:rPr>
          <w:sz w:val="24"/>
          <w:szCs w:val="24"/>
          <w:lang w:val="en-US"/>
        </w:rPr>
      </w:pPr>
      <w:r w:rsidRPr="00A711B7">
        <w:rPr>
          <w:sz w:val="24"/>
          <w:szCs w:val="24"/>
          <w:vertAlign w:val="superscript"/>
          <w:lang w:val="en-US"/>
        </w:rPr>
        <w:t>1</w:t>
      </w:r>
      <w:r w:rsidRPr="00A711B7">
        <w:rPr>
          <w:sz w:val="24"/>
          <w:szCs w:val="24"/>
          <w:lang w:val="en-US"/>
        </w:rPr>
        <w:t xml:space="preserve"> Institute of Economics and Industrial Engineering of the Siberian Branch of the Russian Academy of Sciences, Novosibirsk, Russian Federation</w:t>
      </w:r>
    </w:p>
    <w:p w14:paraId="22C8ED82" w14:textId="77777777" w:rsidR="00C73E62" w:rsidRPr="00892C1C" w:rsidRDefault="00C73E62" w:rsidP="00C73E62">
      <w:pPr>
        <w:pStyle w:val="a3"/>
        <w:jc w:val="left"/>
        <w:rPr>
          <w:sz w:val="24"/>
          <w:szCs w:val="24"/>
          <w:lang w:val="en-US"/>
        </w:rPr>
      </w:pPr>
      <w:r w:rsidRPr="00892C1C">
        <w:rPr>
          <w:sz w:val="24"/>
          <w:szCs w:val="24"/>
          <w:vertAlign w:val="superscript"/>
          <w:lang w:val="en-US"/>
        </w:rPr>
        <w:t>2</w:t>
      </w:r>
      <w:r w:rsidRPr="00892C1C">
        <w:rPr>
          <w:lang w:val="en-US"/>
        </w:rPr>
        <w:t xml:space="preserve"> </w:t>
      </w:r>
      <w:r w:rsidRPr="00C73E62">
        <w:rPr>
          <w:sz w:val="24"/>
          <w:szCs w:val="24"/>
          <w:lang w:val="en-US"/>
        </w:rPr>
        <w:t>Ingenix Group</w:t>
      </w:r>
      <w:r w:rsidRPr="00892C1C">
        <w:rPr>
          <w:sz w:val="24"/>
          <w:szCs w:val="24"/>
          <w:lang w:val="en-US"/>
        </w:rPr>
        <w:t xml:space="preserve">, </w:t>
      </w:r>
      <w:r>
        <w:rPr>
          <w:sz w:val="24"/>
          <w:szCs w:val="24"/>
          <w:lang w:val="en-US"/>
        </w:rPr>
        <w:t>Moscow</w:t>
      </w:r>
      <w:r w:rsidRPr="00892C1C">
        <w:rPr>
          <w:sz w:val="24"/>
          <w:szCs w:val="24"/>
          <w:lang w:val="en-US"/>
        </w:rPr>
        <w:t xml:space="preserve">, </w:t>
      </w:r>
      <w:r w:rsidRPr="00A711B7">
        <w:rPr>
          <w:sz w:val="24"/>
          <w:szCs w:val="24"/>
          <w:lang w:val="en-US"/>
        </w:rPr>
        <w:t>Russian Federation</w:t>
      </w:r>
    </w:p>
    <w:p w14:paraId="114C5E1C" w14:textId="77777777" w:rsidR="00C73E62" w:rsidRPr="00111CCF" w:rsidRDefault="00C73E62" w:rsidP="00C73E62">
      <w:pPr>
        <w:pStyle w:val="a3"/>
        <w:jc w:val="left"/>
        <w:rPr>
          <w:sz w:val="24"/>
          <w:szCs w:val="24"/>
          <w:lang w:val="en-US"/>
        </w:rPr>
      </w:pPr>
      <w:r w:rsidRPr="00111CCF">
        <w:rPr>
          <w:sz w:val="24"/>
          <w:szCs w:val="24"/>
          <w:lang w:val="en-US"/>
        </w:rPr>
        <w:t xml:space="preserve">*Corresponding author: </w:t>
      </w:r>
      <w:r w:rsidRPr="00111CCF">
        <w:rPr>
          <w:sz w:val="24"/>
          <w:szCs w:val="24"/>
        </w:rPr>
        <w:t>А</w:t>
      </w:r>
      <w:r w:rsidRPr="00111CCF">
        <w:rPr>
          <w:sz w:val="24"/>
          <w:szCs w:val="24"/>
          <w:lang w:val="en-US"/>
        </w:rPr>
        <w:t xml:space="preserve">.N. </w:t>
      </w:r>
      <w:r w:rsidRPr="00111CCF">
        <w:rPr>
          <w:sz w:val="24"/>
          <w:szCs w:val="24"/>
        </w:rPr>
        <w:t>То</w:t>
      </w:r>
      <w:r w:rsidRPr="00111CCF">
        <w:rPr>
          <w:sz w:val="24"/>
          <w:szCs w:val="24"/>
          <w:lang w:val="en-US"/>
        </w:rPr>
        <w:t>k</w:t>
      </w:r>
      <w:r w:rsidRPr="00111CCF">
        <w:rPr>
          <w:sz w:val="24"/>
          <w:szCs w:val="24"/>
        </w:rPr>
        <w:t>а</w:t>
      </w:r>
      <w:r w:rsidRPr="00111CCF">
        <w:rPr>
          <w:sz w:val="24"/>
          <w:szCs w:val="24"/>
          <w:lang w:val="en-US"/>
        </w:rPr>
        <w:t>r</w:t>
      </w:r>
      <w:r w:rsidRPr="00111CCF">
        <w:rPr>
          <w:sz w:val="24"/>
          <w:szCs w:val="24"/>
        </w:rPr>
        <w:t>е</w:t>
      </w:r>
      <w:r w:rsidRPr="00111CCF">
        <w:rPr>
          <w:sz w:val="24"/>
          <w:szCs w:val="24"/>
          <w:lang w:val="en-US"/>
        </w:rPr>
        <w:t>v, e-mail: Anatoli-3@yandex.ru</w:t>
      </w:r>
    </w:p>
    <w:p w14:paraId="39C30F65" w14:textId="77777777" w:rsidR="00C73E62" w:rsidRPr="00111CCF" w:rsidRDefault="00C73E62" w:rsidP="00C73E62">
      <w:pPr>
        <w:pStyle w:val="a3"/>
        <w:rPr>
          <w:lang w:val="en-US"/>
        </w:rPr>
      </w:pPr>
    </w:p>
    <w:p w14:paraId="0B326A84" w14:textId="77777777" w:rsidR="00C73E62" w:rsidRDefault="00C73E62" w:rsidP="00C73E62">
      <w:pPr>
        <w:pStyle w:val="a3"/>
        <w:rPr>
          <w:lang w:val="en-US"/>
        </w:rPr>
      </w:pPr>
      <w:r w:rsidRPr="006F07DE">
        <w:rPr>
          <w:b/>
          <w:szCs w:val="28"/>
          <w:lang w:val="en-US"/>
        </w:rPr>
        <w:t>Abstract</w:t>
      </w:r>
      <w:r w:rsidRPr="006F07DE">
        <w:rPr>
          <w:szCs w:val="28"/>
          <w:lang w:val="en-US"/>
        </w:rPr>
        <w:t>.</w:t>
      </w:r>
      <w:r w:rsidRPr="00750D09">
        <w:rPr>
          <w:szCs w:val="28"/>
          <w:lang w:val="en-US"/>
        </w:rPr>
        <w:t xml:space="preserve"> </w:t>
      </w:r>
      <w:r w:rsidRPr="00026071">
        <w:rPr>
          <w:lang w:val="en-US"/>
        </w:rPr>
        <w:t xml:space="preserve">Russia has the largest natural gas resource base. At the same </w:t>
      </w:r>
      <w:r w:rsidRPr="0053595C">
        <w:rPr>
          <w:lang w:val="en-US"/>
        </w:rPr>
        <w:t xml:space="preserve">time, a significant part of the gas reserves are classified as hard-to-recover reserves (HRR), </w:t>
      </w:r>
      <w:r w:rsidRPr="00026071">
        <w:rPr>
          <w:lang w:val="en-US"/>
        </w:rPr>
        <w:t xml:space="preserve">and its supply to the market (primarily by pipeline transport) in modern conditions is </w:t>
      </w:r>
      <w:r w:rsidRPr="00026071">
        <w:rPr>
          <w:lang w:val="en-US"/>
        </w:rPr>
        <w:lastRenderedPageBreak/>
        <w:t xml:space="preserve">associated with overcoming serious obstacles. Therefore, one of the key priorities for the development of the industry should be the production of high-tech gas </w:t>
      </w:r>
      <w:r>
        <w:rPr>
          <w:lang w:val="en-US"/>
        </w:rPr>
        <w:t>–</w:t>
      </w:r>
      <w:r w:rsidRPr="00026071">
        <w:rPr>
          <w:lang w:val="en-US"/>
        </w:rPr>
        <w:t xml:space="preserve"> gas </w:t>
      </w:r>
      <w:r w:rsidRPr="0053595C">
        <w:rPr>
          <w:lang w:val="en-US"/>
        </w:rPr>
        <w:t xml:space="preserve">extracted from HRR or supplied to the market in the form of liquefied natural gas (LNG). Its production involves the use of both innovative technologies and new forms of coordination </w:t>
      </w:r>
      <w:r w:rsidRPr="00026071">
        <w:rPr>
          <w:lang w:val="en-US"/>
        </w:rPr>
        <w:t xml:space="preserve">of participants in the processes of its production. </w:t>
      </w:r>
    </w:p>
    <w:p w14:paraId="282CEEBF" w14:textId="77777777" w:rsidR="00C73E62" w:rsidRDefault="00C73E62" w:rsidP="00C73E62">
      <w:pPr>
        <w:pStyle w:val="a3"/>
        <w:rPr>
          <w:lang w:val="en-US"/>
        </w:rPr>
      </w:pPr>
      <w:r w:rsidRPr="00026071">
        <w:rPr>
          <w:lang w:val="en-US"/>
        </w:rPr>
        <w:t>Projects for the production of high-tech gas can be successfully implemented only if a number of restrictions are removed. Particularly noteworthy are: (1) technological problems, the solution of which requires the use of new types of equipment, materials and services; (2) organizational and economic problems associated with an increased level of costs</w:t>
      </w:r>
      <w:r>
        <w:rPr>
          <w:lang w:val="en-US"/>
        </w:rPr>
        <w:t>.</w:t>
      </w:r>
    </w:p>
    <w:p w14:paraId="5ECFCFFB" w14:textId="77777777" w:rsidR="00C73E62" w:rsidRDefault="00C73E62" w:rsidP="00C73E62">
      <w:pPr>
        <w:pStyle w:val="a3"/>
        <w:rPr>
          <w:lang w:val="en-US"/>
        </w:rPr>
      </w:pPr>
      <w:r w:rsidRPr="00026071">
        <w:rPr>
          <w:lang w:val="en-US"/>
        </w:rPr>
        <w:t xml:space="preserve">The authors' estimates show that the provision of additional tax preferences for the development of hard-to-recover gas </w:t>
      </w:r>
      <w:r>
        <w:rPr>
          <w:lang w:val="en-US"/>
        </w:rPr>
        <w:t>–</w:t>
      </w:r>
      <w:r w:rsidRPr="00026071">
        <w:rPr>
          <w:lang w:val="en-US"/>
        </w:rPr>
        <w:t xml:space="preserve"> Achimov and Jurassic deposits </w:t>
      </w:r>
      <w:r>
        <w:rPr>
          <w:lang w:val="en-US"/>
        </w:rPr>
        <w:t>–</w:t>
      </w:r>
      <w:r w:rsidRPr="00026071">
        <w:rPr>
          <w:lang w:val="en-US"/>
        </w:rPr>
        <w:t xml:space="preserve"> allows projects for their development to reach the level of profitability required by investors. At the same time, the state's tax revenues will be at the level of income received from the production of a similar volume of Cenomanian gas. This effect is associated with the mandatory inclusion of gas condensate in the composition of target products. In turn, when implementing LNG projects, even in the case of tax preferences, the state's revenues are no lower than with the existing taxation of gas production and its supply by pipeline transport. This circumstance is due to the fact that LNG</w:t>
      </w:r>
      <w:r>
        <w:rPr>
          <w:lang w:val="en-US"/>
        </w:rPr>
        <w:t>-</w:t>
      </w:r>
      <w:r w:rsidRPr="00026071">
        <w:rPr>
          <w:lang w:val="en-US"/>
        </w:rPr>
        <w:t xml:space="preserve">projects are characterized by higher capital intensity and greater flexibility in the directions of supply and subsequent use of liquefied gas. </w:t>
      </w:r>
    </w:p>
    <w:p w14:paraId="656AABAB" w14:textId="77777777" w:rsidR="00C73E62" w:rsidRDefault="00C73E62" w:rsidP="00C73E62">
      <w:pPr>
        <w:pStyle w:val="a3"/>
        <w:rPr>
          <w:lang w:val="en-US"/>
        </w:rPr>
      </w:pPr>
      <w:r w:rsidRPr="00026071">
        <w:rPr>
          <w:lang w:val="en-US"/>
        </w:rPr>
        <w:t>It is shown that in order to increase the extraction and production of high-te</w:t>
      </w:r>
      <w:r>
        <w:rPr>
          <w:lang w:val="en-US"/>
        </w:rPr>
        <w:t>ch</w:t>
      </w:r>
      <w:r w:rsidRPr="00026071">
        <w:rPr>
          <w:lang w:val="en-US"/>
        </w:rPr>
        <w:t xml:space="preserve"> gas, an important role is played by the formation of conditions for the accelerated development of related industries, primarily oil and gas </w:t>
      </w:r>
      <w:r>
        <w:rPr>
          <w:lang w:val="en-US"/>
        </w:rPr>
        <w:t xml:space="preserve">field </w:t>
      </w:r>
      <w:r w:rsidRPr="00026071">
        <w:rPr>
          <w:lang w:val="en-US"/>
        </w:rPr>
        <w:t>services and mechanical engineering, which can only be ensured through close cooperation between the participants using indicative planning mechanisms.</w:t>
      </w:r>
    </w:p>
    <w:p w14:paraId="4848B702" w14:textId="77777777" w:rsidR="00C73E62" w:rsidRDefault="00C73E62" w:rsidP="00C73E62">
      <w:pPr>
        <w:pStyle w:val="a3"/>
        <w:rPr>
          <w:lang w:val="en-US"/>
        </w:rPr>
      </w:pPr>
    </w:p>
    <w:p w14:paraId="28A1932E" w14:textId="77777777" w:rsidR="00C73E62" w:rsidRDefault="00C73E62" w:rsidP="00C73E62">
      <w:pPr>
        <w:pStyle w:val="a3"/>
        <w:rPr>
          <w:lang w:val="en-US"/>
        </w:rPr>
      </w:pPr>
      <w:r w:rsidRPr="006F07DE">
        <w:rPr>
          <w:b/>
          <w:szCs w:val="28"/>
          <w:lang w:val="en-US"/>
        </w:rPr>
        <w:t>Keywords</w:t>
      </w:r>
      <w:r w:rsidRPr="006F07DE">
        <w:rPr>
          <w:szCs w:val="28"/>
          <w:lang w:val="en-US"/>
        </w:rPr>
        <w:t>:</w:t>
      </w:r>
      <w:r w:rsidRPr="00EF2ED2">
        <w:rPr>
          <w:szCs w:val="28"/>
          <w:lang w:val="en-US"/>
        </w:rPr>
        <w:t xml:space="preserve"> </w:t>
      </w:r>
      <w:r w:rsidRPr="00B27112">
        <w:rPr>
          <w:lang w:val="en-US"/>
        </w:rPr>
        <w:t>high-tech gas, Achimov and Jurassic deposits, Yamal-Nenets Autonomous District, indicative planning, taxes, oil and gas engineering, hard-to-recover reserves, liquefied natural gas</w:t>
      </w:r>
    </w:p>
    <w:p w14:paraId="5998222D" w14:textId="77777777" w:rsidR="00C73E62" w:rsidRDefault="00C73E62" w:rsidP="00C73E62">
      <w:pPr>
        <w:pStyle w:val="a3"/>
        <w:rPr>
          <w:lang w:val="en-US"/>
        </w:rPr>
      </w:pPr>
    </w:p>
    <w:p w14:paraId="3C6409B7" w14:textId="77777777" w:rsidR="00C73E62" w:rsidRPr="006F07DE" w:rsidRDefault="00C73E62" w:rsidP="00C73E62">
      <w:pPr>
        <w:pStyle w:val="a8"/>
        <w:tabs>
          <w:tab w:val="left" w:pos="0"/>
        </w:tabs>
        <w:ind w:left="0" w:right="31" w:firstLine="567"/>
        <w:rPr>
          <w:b/>
          <w:szCs w:val="28"/>
          <w:lang w:val="en-US"/>
        </w:rPr>
      </w:pPr>
      <w:r w:rsidRPr="002073FA">
        <w:rPr>
          <w:b/>
          <w:szCs w:val="28"/>
          <w:lang w:val="en-US"/>
        </w:rPr>
        <w:t xml:space="preserve">Acknowledgements </w:t>
      </w:r>
    </w:p>
    <w:p w14:paraId="0D9673BE" w14:textId="092F0090" w:rsidR="00C5627F" w:rsidRPr="0053595C" w:rsidRDefault="00C5627F" w:rsidP="00C73E62">
      <w:pPr>
        <w:pStyle w:val="a8"/>
        <w:tabs>
          <w:tab w:val="left" w:pos="0"/>
        </w:tabs>
        <w:ind w:left="0" w:right="31" w:firstLine="567"/>
        <w:rPr>
          <w:szCs w:val="28"/>
          <w:lang w:val="en-US"/>
        </w:rPr>
      </w:pPr>
      <w:r w:rsidRPr="0053595C">
        <w:rPr>
          <w:szCs w:val="28"/>
          <w:lang w:val="en-US"/>
        </w:rPr>
        <w:t>The research was conducted as part of the research plan of IEIE SB RAS, project 5.6.3.2. (FWZF-2024-0001) titled “Expert-analytical, organizational, and methodological components of the system of indicative planning for scientific, technological, and balanced spatial development of Russia in the implementation of large investment projects.”</w:t>
      </w:r>
    </w:p>
    <w:p w14:paraId="6E49063A" w14:textId="77777777" w:rsidR="00C73E62" w:rsidRPr="002073FA" w:rsidRDefault="00C73E62" w:rsidP="00C73E62">
      <w:pPr>
        <w:pStyle w:val="a8"/>
        <w:tabs>
          <w:tab w:val="left" w:pos="0"/>
        </w:tabs>
        <w:ind w:left="0" w:right="31" w:firstLine="567"/>
        <w:rPr>
          <w:szCs w:val="28"/>
          <w:lang w:val="en-US"/>
        </w:rPr>
      </w:pPr>
    </w:p>
    <w:p w14:paraId="0280D636" w14:textId="77777777" w:rsidR="00C73E62" w:rsidRPr="006F07DE" w:rsidRDefault="00C73E62" w:rsidP="00C73E62">
      <w:pPr>
        <w:pStyle w:val="a8"/>
        <w:tabs>
          <w:tab w:val="left" w:pos="0"/>
        </w:tabs>
        <w:ind w:left="0" w:right="31" w:firstLine="567"/>
        <w:rPr>
          <w:b/>
          <w:szCs w:val="28"/>
          <w:lang w:val="en-US"/>
        </w:rPr>
      </w:pPr>
      <w:r w:rsidRPr="006F07DE">
        <w:rPr>
          <w:b/>
          <w:szCs w:val="28"/>
          <w:lang w:val="en-US"/>
        </w:rPr>
        <w:t>References</w:t>
      </w:r>
    </w:p>
    <w:p w14:paraId="23A681E7" w14:textId="77777777" w:rsidR="00C73E62" w:rsidRPr="006C7761" w:rsidRDefault="00C73E62" w:rsidP="00C73E62">
      <w:pPr>
        <w:pStyle w:val="a3"/>
        <w:rPr>
          <w:lang w:val="en-US"/>
        </w:rPr>
      </w:pPr>
      <w:r w:rsidRPr="006C7761">
        <w:rPr>
          <w:lang w:val="en-US"/>
        </w:rPr>
        <w:t>Al-Kasim F. (2006). Managing Petroleum Resources. The ‘Norwegian Model’ in a Broad Perspective. Oxford: Oxford Institute for Energy Studies, 264 p.</w:t>
      </w:r>
    </w:p>
    <w:p w14:paraId="45D23BCF" w14:textId="77777777" w:rsidR="00C73E62" w:rsidRPr="006C7761" w:rsidRDefault="00C73E62" w:rsidP="00C73E62">
      <w:pPr>
        <w:pStyle w:val="a3"/>
        <w:rPr>
          <w:lang w:val="en-US"/>
        </w:rPr>
      </w:pPr>
      <w:r w:rsidRPr="006C7761">
        <w:rPr>
          <w:lang w:val="en-US"/>
        </w:rPr>
        <w:lastRenderedPageBreak/>
        <w:t xml:space="preserve">Atienza M., Lufin M., Soto J. (2021). Mining linkages in the Chilean copper supply network and regional economic development. </w:t>
      </w:r>
      <w:r w:rsidRPr="00B7455D">
        <w:rPr>
          <w:i/>
          <w:iCs/>
          <w:lang w:val="en-US"/>
        </w:rPr>
        <w:t>Resources Policy</w:t>
      </w:r>
      <w:r w:rsidRPr="006C7761">
        <w:rPr>
          <w:lang w:val="en-US"/>
        </w:rPr>
        <w:t>, 70, 101154. https://doi.org/10.1016/j.resourpol.2018.02.013.</w:t>
      </w:r>
    </w:p>
    <w:p w14:paraId="2D4D4A38" w14:textId="77777777" w:rsidR="00C73E62" w:rsidRPr="006C7761" w:rsidRDefault="00C73E62" w:rsidP="00C73E62">
      <w:pPr>
        <w:pStyle w:val="a3"/>
        <w:rPr>
          <w:lang w:val="en-US"/>
        </w:rPr>
      </w:pPr>
      <w:r w:rsidRPr="006C7761">
        <w:rPr>
          <w:lang w:val="en-US"/>
        </w:rPr>
        <w:t xml:space="preserve">Audretsch D., Feldman M. (1996). Innovative clusters and the industry life cycle. </w:t>
      </w:r>
      <w:r w:rsidRPr="00B7455D">
        <w:rPr>
          <w:i/>
          <w:iCs/>
          <w:lang w:val="en-US"/>
        </w:rPr>
        <w:t>Review of Industrial Organization</w:t>
      </w:r>
      <w:r w:rsidRPr="006C7761">
        <w:rPr>
          <w:lang w:val="en-US"/>
        </w:rPr>
        <w:t>, 11, pp. 253–273. https://doi.org/10.1007/BF00157670.</w:t>
      </w:r>
    </w:p>
    <w:p w14:paraId="09250DE7" w14:textId="77777777" w:rsidR="00C73E62" w:rsidRPr="009D1A92" w:rsidRDefault="00C73E62" w:rsidP="00C73E62">
      <w:pPr>
        <w:rPr>
          <w:rFonts w:cs="Times New Roman"/>
          <w:szCs w:val="28"/>
          <w:lang w:val="en-US"/>
        </w:rPr>
      </w:pPr>
      <w:r w:rsidRPr="006C7761">
        <w:rPr>
          <w:rFonts w:cs="Times New Roman"/>
          <w:szCs w:val="28"/>
          <w:lang w:val="en-US"/>
        </w:rPr>
        <w:t xml:space="preserve">Brekhuntsov A.M., Nesterov I.I. (Jr.), Grammatchikova E.G. (2023). Status and development prospects of the hydrocarbon resource base of the Yamalo-Nenets Autonomous Okrug </w:t>
      </w:r>
      <w:r w:rsidRPr="009D1A92">
        <w:rPr>
          <w:rFonts w:cs="Times New Roman"/>
          <w:szCs w:val="28"/>
          <w:lang w:val="en-US"/>
        </w:rPr>
        <w:t xml:space="preserve">and the Kara Sea shelf. </w:t>
      </w:r>
      <w:r w:rsidRPr="00B7455D">
        <w:rPr>
          <w:rFonts w:cs="Times New Roman"/>
          <w:i/>
          <w:iCs/>
          <w:szCs w:val="28"/>
          <w:lang w:val="en-US"/>
        </w:rPr>
        <w:t>Georesursy = Georesources</w:t>
      </w:r>
      <w:r w:rsidRPr="009D1A92">
        <w:rPr>
          <w:rFonts w:cs="Times New Roman"/>
          <w:szCs w:val="28"/>
          <w:lang w:val="en-US"/>
        </w:rPr>
        <w:t>, 25(1), pp. 15–23. https://doi.org/10.18599/grs.2023.1.2</w:t>
      </w:r>
    </w:p>
    <w:p w14:paraId="6D931C4D" w14:textId="77777777" w:rsidR="00C73E62" w:rsidRPr="00915CEC" w:rsidRDefault="00C73E62" w:rsidP="00C73E62">
      <w:pPr>
        <w:pStyle w:val="a3"/>
        <w:rPr>
          <w:lang w:val="en-US"/>
        </w:rPr>
      </w:pPr>
      <w:r w:rsidRPr="00915CEC">
        <w:rPr>
          <w:lang w:val="en-US"/>
        </w:rPr>
        <w:t xml:space="preserve">Cassini L., Robert V. </w:t>
      </w:r>
      <w:r>
        <w:rPr>
          <w:lang w:val="en-US"/>
        </w:rPr>
        <w:t>(</w:t>
      </w:r>
      <w:r w:rsidRPr="00915CEC">
        <w:rPr>
          <w:lang w:val="en-US"/>
        </w:rPr>
        <w:t>2020</w:t>
      </w:r>
      <w:r>
        <w:rPr>
          <w:lang w:val="en-US"/>
        </w:rPr>
        <w:t>)</w:t>
      </w:r>
      <w:r w:rsidRPr="00915CEC">
        <w:rPr>
          <w:lang w:val="en-US"/>
        </w:rPr>
        <w:t>.</w:t>
      </w:r>
      <w:r>
        <w:rPr>
          <w:lang w:val="en-US"/>
        </w:rPr>
        <w:t xml:space="preserve"> </w:t>
      </w:r>
      <w:r w:rsidRPr="00915CEC">
        <w:rPr>
          <w:lang w:val="en-US"/>
        </w:rPr>
        <w:t xml:space="preserve">Services as drivers of economic growth. Is there an opportunity for Latin America countries? </w:t>
      </w:r>
      <w:r w:rsidRPr="00B7455D">
        <w:rPr>
          <w:i/>
          <w:iCs/>
          <w:lang w:val="en-US"/>
        </w:rPr>
        <w:t>Economics of Innovation and New Technology</w:t>
      </w:r>
      <w:r>
        <w:rPr>
          <w:lang w:val="en-US"/>
        </w:rPr>
        <w:t>,</w:t>
      </w:r>
      <w:r w:rsidRPr="00915CEC">
        <w:rPr>
          <w:lang w:val="en-US"/>
        </w:rPr>
        <w:t xml:space="preserve"> 29(7)</w:t>
      </w:r>
      <w:r>
        <w:rPr>
          <w:lang w:val="en-US"/>
        </w:rPr>
        <w:t>, pp.</w:t>
      </w:r>
      <w:r w:rsidRPr="00915CEC">
        <w:rPr>
          <w:lang w:val="en-US"/>
        </w:rPr>
        <w:t xml:space="preserve"> 762–783. </w:t>
      </w:r>
      <w:r w:rsidRPr="00B021D7">
        <w:rPr>
          <w:lang w:val="en-US"/>
        </w:rPr>
        <w:t>https://doi.org/</w:t>
      </w:r>
      <w:r w:rsidRPr="00915CEC">
        <w:rPr>
          <w:lang w:val="en-US"/>
        </w:rPr>
        <w:t>10.1080/10438599.2020.1719636.</w:t>
      </w:r>
    </w:p>
    <w:p w14:paraId="3FB19774" w14:textId="77777777" w:rsidR="00C73E62" w:rsidRPr="00583C9A" w:rsidRDefault="00C73E62" w:rsidP="00C73E62">
      <w:pPr>
        <w:pStyle w:val="a3"/>
        <w:rPr>
          <w:lang w:val="en-US"/>
        </w:rPr>
      </w:pPr>
      <w:r w:rsidRPr="00915CEC">
        <w:rPr>
          <w:lang w:val="en-US"/>
        </w:rPr>
        <w:t>Casta</w:t>
      </w:r>
      <w:r w:rsidRPr="00923E2E">
        <w:rPr>
          <w:lang w:val="en-US"/>
        </w:rPr>
        <w:t>ñ</w:t>
      </w:r>
      <w:r w:rsidRPr="00915CEC">
        <w:rPr>
          <w:lang w:val="en-US"/>
        </w:rPr>
        <w:t>o</w:t>
      </w:r>
      <w:r w:rsidRPr="00923E2E">
        <w:rPr>
          <w:lang w:val="en-US"/>
        </w:rPr>
        <w:t xml:space="preserve"> </w:t>
      </w:r>
      <w:r w:rsidRPr="00915CEC">
        <w:rPr>
          <w:lang w:val="en-US"/>
        </w:rPr>
        <w:t>A</w:t>
      </w:r>
      <w:r w:rsidRPr="00923E2E">
        <w:rPr>
          <w:lang w:val="en-US"/>
        </w:rPr>
        <w:t>.</w:t>
      </w:r>
      <w:r w:rsidRPr="00915CEC">
        <w:rPr>
          <w:lang w:val="en-US"/>
        </w:rPr>
        <w:t>M</w:t>
      </w:r>
      <w:r w:rsidRPr="00923E2E">
        <w:rPr>
          <w:lang w:val="en-US"/>
        </w:rPr>
        <w:t xml:space="preserve">., </w:t>
      </w:r>
      <w:r w:rsidRPr="00915CEC">
        <w:rPr>
          <w:lang w:val="en-US"/>
        </w:rPr>
        <w:t>Lufin</w:t>
      </w:r>
      <w:r w:rsidRPr="00923E2E">
        <w:rPr>
          <w:lang w:val="en-US"/>
        </w:rPr>
        <w:t xml:space="preserve"> </w:t>
      </w:r>
      <w:r w:rsidRPr="00915CEC">
        <w:rPr>
          <w:lang w:val="en-US"/>
        </w:rPr>
        <w:t>M</w:t>
      </w:r>
      <w:r w:rsidRPr="00923E2E">
        <w:rPr>
          <w:lang w:val="en-US"/>
        </w:rPr>
        <w:t xml:space="preserve">., </w:t>
      </w:r>
      <w:r w:rsidRPr="00915CEC">
        <w:rPr>
          <w:lang w:val="en-US"/>
        </w:rPr>
        <w:t>Atienza</w:t>
      </w:r>
      <w:r w:rsidRPr="00923E2E">
        <w:rPr>
          <w:lang w:val="en-US"/>
        </w:rPr>
        <w:t xml:space="preserve"> </w:t>
      </w:r>
      <w:r w:rsidRPr="00915CEC">
        <w:rPr>
          <w:lang w:val="en-US"/>
        </w:rPr>
        <w:t>M</w:t>
      </w:r>
      <w:r w:rsidRPr="00923E2E">
        <w:rPr>
          <w:lang w:val="en-US"/>
        </w:rPr>
        <w:t xml:space="preserve">. </w:t>
      </w:r>
      <w:r>
        <w:rPr>
          <w:lang w:val="en-US"/>
        </w:rPr>
        <w:t>(</w:t>
      </w:r>
      <w:r w:rsidRPr="00923E2E">
        <w:rPr>
          <w:lang w:val="en-US"/>
        </w:rPr>
        <w:t>2019</w:t>
      </w:r>
      <w:r>
        <w:rPr>
          <w:lang w:val="en-US"/>
        </w:rPr>
        <w:t>)</w:t>
      </w:r>
      <w:r w:rsidRPr="00923E2E">
        <w:rPr>
          <w:lang w:val="en-US"/>
        </w:rPr>
        <w:t>.</w:t>
      </w:r>
      <w:r>
        <w:rPr>
          <w:lang w:val="en-US"/>
        </w:rPr>
        <w:t xml:space="preserve"> </w:t>
      </w:r>
      <w:r w:rsidRPr="00915CEC">
        <w:rPr>
          <w:lang w:val="en-US"/>
        </w:rPr>
        <w:t>A</w:t>
      </w:r>
      <w:r w:rsidRPr="00923E2E">
        <w:rPr>
          <w:lang w:val="en-US"/>
        </w:rPr>
        <w:t xml:space="preserve"> </w:t>
      </w:r>
      <w:r w:rsidRPr="00915CEC">
        <w:rPr>
          <w:lang w:val="en-US"/>
        </w:rPr>
        <w:t>Structural</w:t>
      </w:r>
      <w:r w:rsidRPr="00923E2E">
        <w:rPr>
          <w:lang w:val="en-US"/>
        </w:rPr>
        <w:t xml:space="preserve"> </w:t>
      </w:r>
      <w:r w:rsidRPr="00915CEC">
        <w:rPr>
          <w:lang w:val="en-US"/>
        </w:rPr>
        <w:t>Path</w:t>
      </w:r>
      <w:r w:rsidRPr="00923E2E">
        <w:rPr>
          <w:lang w:val="en-US"/>
        </w:rPr>
        <w:t xml:space="preserve"> </w:t>
      </w:r>
      <w:r w:rsidRPr="00915CEC">
        <w:rPr>
          <w:lang w:val="en-US"/>
        </w:rPr>
        <w:t>Analysis</w:t>
      </w:r>
      <w:r w:rsidRPr="00923E2E">
        <w:rPr>
          <w:lang w:val="en-US"/>
        </w:rPr>
        <w:t xml:space="preserve"> </w:t>
      </w:r>
      <w:r w:rsidRPr="00915CEC">
        <w:rPr>
          <w:lang w:val="en-US"/>
        </w:rPr>
        <w:t>of</w:t>
      </w:r>
      <w:r w:rsidRPr="00923E2E">
        <w:rPr>
          <w:lang w:val="en-US"/>
        </w:rPr>
        <w:t xml:space="preserve"> </w:t>
      </w:r>
      <w:r w:rsidRPr="00915CEC">
        <w:rPr>
          <w:lang w:val="en-US"/>
        </w:rPr>
        <w:t>the</w:t>
      </w:r>
      <w:r w:rsidRPr="00923E2E">
        <w:rPr>
          <w:lang w:val="en-US"/>
        </w:rPr>
        <w:t xml:space="preserve"> </w:t>
      </w:r>
      <w:r w:rsidRPr="00915CEC">
        <w:rPr>
          <w:lang w:val="en-US"/>
        </w:rPr>
        <w:t>Chilean</w:t>
      </w:r>
      <w:r w:rsidRPr="00923E2E">
        <w:rPr>
          <w:lang w:val="en-US"/>
        </w:rPr>
        <w:t xml:space="preserve"> </w:t>
      </w:r>
      <w:r w:rsidRPr="00915CEC">
        <w:rPr>
          <w:lang w:val="en-US"/>
        </w:rPr>
        <w:t>mining</w:t>
      </w:r>
      <w:r w:rsidRPr="00923E2E">
        <w:rPr>
          <w:lang w:val="en-US"/>
        </w:rPr>
        <w:t xml:space="preserve"> </w:t>
      </w:r>
      <w:r w:rsidRPr="00915CEC">
        <w:rPr>
          <w:lang w:val="en-US"/>
        </w:rPr>
        <w:t>industry</w:t>
      </w:r>
      <w:r w:rsidRPr="00923E2E">
        <w:rPr>
          <w:lang w:val="en-US"/>
        </w:rPr>
        <w:t xml:space="preserve"> </w:t>
      </w:r>
      <w:r w:rsidRPr="00915CEC">
        <w:rPr>
          <w:lang w:val="en-US"/>
        </w:rPr>
        <w:t>between</w:t>
      </w:r>
      <w:r w:rsidRPr="00923E2E">
        <w:rPr>
          <w:lang w:val="en-US"/>
        </w:rPr>
        <w:t xml:space="preserve"> 1995–2011. </w:t>
      </w:r>
      <w:r w:rsidRPr="00915CEC">
        <w:rPr>
          <w:lang w:val="en-US"/>
        </w:rPr>
        <w:t>What</w:t>
      </w:r>
      <w:r w:rsidRPr="00583C9A">
        <w:rPr>
          <w:lang w:val="en-US"/>
        </w:rPr>
        <w:t xml:space="preserve"> </w:t>
      </w:r>
      <w:r w:rsidRPr="00915CEC">
        <w:rPr>
          <w:lang w:val="en-US"/>
        </w:rPr>
        <w:t>are</w:t>
      </w:r>
      <w:r w:rsidRPr="00583C9A">
        <w:rPr>
          <w:lang w:val="en-US"/>
        </w:rPr>
        <w:t xml:space="preserve"> </w:t>
      </w:r>
      <w:r w:rsidRPr="00915CEC">
        <w:rPr>
          <w:lang w:val="en-US"/>
        </w:rPr>
        <w:t>the</w:t>
      </w:r>
      <w:r w:rsidRPr="00583C9A">
        <w:rPr>
          <w:lang w:val="en-US"/>
        </w:rPr>
        <w:t xml:space="preserve"> </w:t>
      </w:r>
      <w:r w:rsidRPr="00915CEC">
        <w:rPr>
          <w:lang w:val="en-US"/>
        </w:rPr>
        <w:t xml:space="preserve">channels through which extractive activity affects the economy? </w:t>
      </w:r>
      <w:r w:rsidRPr="00B7455D">
        <w:rPr>
          <w:i/>
          <w:iCs/>
          <w:lang w:val="en-US"/>
        </w:rPr>
        <w:t>Resources Policy</w:t>
      </w:r>
      <w:r w:rsidRPr="00583C9A">
        <w:rPr>
          <w:lang w:val="en-US"/>
        </w:rPr>
        <w:t xml:space="preserve">, 60, </w:t>
      </w:r>
      <w:r>
        <w:rPr>
          <w:lang w:val="en-US"/>
        </w:rPr>
        <w:t>pp</w:t>
      </w:r>
      <w:r w:rsidRPr="00583C9A">
        <w:rPr>
          <w:lang w:val="en-US"/>
        </w:rPr>
        <w:t>. 106–117. https://doi.org/10.1016/j.resourpol.2018.12.007.</w:t>
      </w:r>
    </w:p>
    <w:p w14:paraId="1B0C231F" w14:textId="77777777" w:rsidR="00C73E62" w:rsidRDefault="00C73E62" w:rsidP="00C73E62">
      <w:pPr>
        <w:pStyle w:val="a3"/>
        <w:rPr>
          <w:lang w:val="en-US"/>
        </w:rPr>
      </w:pPr>
      <w:r w:rsidRPr="00915CEC">
        <w:rPr>
          <w:lang w:val="en-US"/>
        </w:rPr>
        <w:t xml:space="preserve">Cooke P. </w:t>
      </w:r>
      <w:r>
        <w:rPr>
          <w:lang w:val="en-US"/>
        </w:rPr>
        <w:t>(</w:t>
      </w:r>
      <w:r w:rsidRPr="00915CEC">
        <w:rPr>
          <w:lang w:val="en-US"/>
        </w:rPr>
        <w:t>2002</w:t>
      </w:r>
      <w:r>
        <w:rPr>
          <w:lang w:val="en-US"/>
        </w:rPr>
        <w:t>)</w:t>
      </w:r>
      <w:r w:rsidRPr="00915CEC">
        <w:rPr>
          <w:lang w:val="en-US"/>
        </w:rPr>
        <w:t>.</w:t>
      </w:r>
      <w:r>
        <w:rPr>
          <w:lang w:val="en-US"/>
        </w:rPr>
        <w:t xml:space="preserve"> </w:t>
      </w:r>
      <w:r w:rsidRPr="00915CEC">
        <w:rPr>
          <w:lang w:val="en-US"/>
        </w:rPr>
        <w:t>Knowledge economies: clusters, learning and cooperative advantage. London: Routledge, 232 p.</w:t>
      </w:r>
    </w:p>
    <w:p w14:paraId="3BAC17E8" w14:textId="53BA0370" w:rsidR="00C73E62" w:rsidRDefault="00C73E62" w:rsidP="00C73E62">
      <w:pPr>
        <w:pStyle w:val="a3"/>
        <w:rPr>
          <w:lang w:val="en-US"/>
        </w:rPr>
      </w:pPr>
      <w:r w:rsidRPr="00915CEC">
        <w:rPr>
          <w:lang w:val="en-US"/>
        </w:rPr>
        <w:t xml:space="preserve">Crespi G., Katz J., Olivari J. </w:t>
      </w:r>
      <w:r>
        <w:rPr>
          <w:lang w:val="en-US"/>
        </w:rPr>
        <w:t>(</w:t>
      </w:r>
      <w:r w:rsidRPr="00B021D7">
        <w:rPr>
          <w:lang w:val="en-US"/>
        </w:rPr>
        <w:t>2018</w:t>
      </w:r>
      <w:r>
        <w:rPr>
          <w:lang w:val="en-US"/>
        </w:rPr>
        <w:t>)</w:t>
      </w:r>
      <w:r w:rsidRPr="00B021D7">
        <w:rPr>
          <w:lang w:val="en-US"/>
        </w:rPr>
        <w:t xml:space="preserve">. </w:t>
      </w:r>
      <w:r w:rsidRPr="00915CEC">
        <w:rPr>
          <w:lang w:val="en-US"/>
        </w:rPr>
        <w:t>Innovation, natural resource-based activities and growth in emerging economies: the formation and role of knowledge-intensive service firms</w:t>
      </w:r>
      <w:r>
        <w:rPr>
          <w:lang w:val="en-US"/>
        </w:rPr>
        <w:t>.</w:t>
      </w:r>
      <w:r w:rsidRPr="00915CEC">
        <w:rPr>
          <w:lang w:val="en-US"/>
        </w:rPr>
        <w:t xml:space="preserve"> </w:t>
      </w:r>
      <w:r w:rsidRPr="00B7455D">
        <w:rPr>
          <w:i/>
          <w:iCs/>
          <w:lang w:val="en-US"/>
        </w:rPr>
        <w:t>Innovation and Development</w:t>
      </w:r>
      <w:r w:rsidRPr="00583C9A">
        <w:rPr>
          <w:lang w:val="en-US"/>
        </w:rPr>
        <w:t xml:space="preserve">, 8(1), </w:t>
      </w:r>
      <w:r>
        <w:rPr>
          <w:lang w:val="en-US"/>
        </w:rPr>
        <w:t>pp</w:t>
      </w:r>
      <w:r w:rsidRPr="00583C9A">
        <w:rPr>
          <w:lang w:val="en-US"/>
        </w:rPr>
        <w:t xml:space="preserve">. 79–101. </w:t>
      </w:r>
      <w:r w:rsidRPr="00B021D7">
        <w:rPr>
          <w:lang w:val="en-US"/>
        </w:rPr>
        <w:t>https</w:t>
      </w:r>
      <w:r w:rsidRPr="00583C9A">
        <w:rPr>
          <w:lang w:val="en-US"/>
        </w:rPr>
        <w:t>://</w:t>
      </w:r>
      <w:r w:rsidRPr="00B021D7">
        <w:rPr>
          <w:lang w:val="en-US"/>
        </w:rPr>
        <w:t>doi</w:t>
      </w:r>
      <w:r w:rsidRPr="00583C9A">
        <w:rPr>
          <w:lang w:val="en-US"/>
        </w:rPr>
        <w:t>.</w:t>
      </w:r>
      <w:r w:rsidRPr="00B021D7">
        <w:rPr>
          <w:lang w:val="en-US"/>
        </w:rPr>
        <w:t>org</w:t>
      </w:r>
      <w:r w:rsidRPr="00583C9A">
        <w:rPr>
          <w:lang w:val="en-US"/>
        </w:rPr>
        <w:t>/10.1080/2157930</w:t>
      </w:r>
      <w:r w:rsidRPr="00B021D7">
        <w:rPr>
          <w:lang w:val="en-US"/>
        </w:rPr>
        <w:t>X</w:t>
      </w:r>
      <w:r w:rsidRPr="00583C9A">
        <w:rPr>
          <w:lang w:val="en-US"/>
        </w:rPr>
        <w:t>.2017.1377387.</w:t>
      </w:r>
    </w:p>
    <w:p w14:paraId="6FC21F7F" w14:textId="77777777" w:rsidR="00F81F35" w:rsidRPr="0053595C" w:rsidRDefault="00F81F35" w:rsidP="00F81F35">
      <w:pPr>
        <w:ind w:left="57" w:right="57"/>
        <w:rPr>
          <w:color w:val="0000FF"/>
          <w:lang w:val="en-US"/>
        </w:rPr>
      </w:pPr>
      <w:r w:rsidRPr="0053595C">
        <w:rPr>
          <w:color w:val="0000FF"/>
          <w:lang w:val="en-US"/>
        </w:rPr>
        <w:t xml:space="preserve">Dubovitskaya E.A., Chizhikov S.V. (2021). Analysis of the effectiveness of technical and economic modeling at the stage of pre-project assessment of capital investments in the oil and gas industry. </w:t>
      </w:r>
      <w:r w:rsidRPr="0053595C">
        <w:rPr>
          <w:i/>
          <w:iCs/>
          <w:color w:val="0000FF"/>
          <w:lang w:val="en-US"/>
        </w:rPr>
        <w:t>Oil industry</w:t>
      </w:r>
      <w:r w:rsidRPr="0053595C">
        <w:rPr>
          <w:color w:val="0000FF"/>
          <w:lang w:val="en-US"/>
        </w:rPr>
        <w:t>, 4, pp. 10</w:t>
      </w:r>
      <w:r w:rsidRPr="0053595C">
        <w:rPr>
          <w:color w:val="0000FF"/>
          <w:szCs w:val="24"/>
          <w:lang w:val="en-US"/>
        </w:rPr>
        <w:t>–</w:t>
      </w:r>
      <w:r w:rsidRPr="0053595C">
        <w:rPr>
          <w:color w:val="0000FF"/>
          <w:lang w:val="en-US"/>
        </w:rPr>
        <w:t>16.</w:t>
      </w:r>
    </w:p>
    <w:p w14:paraId="186C4681" w14:textId="77777777" w:rsidR="00F81F35" w:rsidRPr="002B46C9" w:rsidRDefault="00F81F35" w:rsidP="00F81F35">
      <w:pPr>
        <w:pStyle w:val="a3"/>
        <w:ind w:firstLine="708"/>
        <w:rPr>
          <w:color w:val="0000FF"/>
          <w:szCs w:val="24"/>
          <w:lang w:val="en-US"/>
        </w:rPr>
      </w:pPr>
      <w:r w:rsidRPr="0053595C">
        <w:rPr>
          <w:color w:val="0000FF"/>
          <w:szCs w:val="24"/>
          <w:lang w:val="en-US"/>
        </w:rPr>
        <w:t xml:space="preserve">Dubovitskaya E.A., Chizhikov S.V., Tkachenko T.A. (2017). Cost modeling: a tool for accounting for changes. </w:t>
      </w:r>
      <w:r w:rsidRPr="0053595C">
        <w:rPr>
          <w:i/>
          <w:iCs/>
          <w:color w:val="0000FF"/>
          <w:szCs w:val="24"/>
          <w:lang w:val="en-US"/>
        </w:rPr>
        <w:t>Oil industry</w:t>
      </w:r>
      <w:r w:rsidRPr="0053595C">
        <w:rPr>
          <w:color w:val="0000FF"/>
          <w:szCs w:val="24"/>
          <w:lang w:val="en-US"/>
        </w:rPr>
        <w:t>, 10, pp. 64–68.</w:t>
      </w:r>
    </w:p>
    <w:p w14:paraId="541DE93C" w14:textId="77777777" w:rsidR="00C73E62" w:rsidRPr="00915CEC" w:rsidRDefault="00C73E62" w:rsidP="00C73E62">
      <w:pPr>
        <w:pStyle w:val="a3"/>
        <w:rPr>
          <w:lang w:val="en-US"/>
        </w:rPr>
      </w:pPr>
      <w:r w:rsidRPr="00915CEC">
        <w:rPr>
          <w:lang w:val="en-US"/>
        </w:rPr>
        <w:t xml:space="preserve">Figueiredo P., Piana J. </w:t>
      </w:r>
      <w:r>
        <w:rPr>
          <w:lang w:val="en-US"/>
        </w:rPr>
        <w:t>(</w:t>
      </w:r>
      <w:r w:rsidRPr="00915CEC">
        <w:rPr>
          <w:lang w:val="en-US"/>
        </w:rPr>
        <w:t>2016</w:t>
      </w:r>
      <w:r>
        <w:rPr>
          <w:lang w:val="en-US"/>
        </w:rPr>
        <w:t>)</w:t>
      </w:r>
      <w:r w:rsidRPr="00915CEC">
        <w:rPr>
          <w:lang w:val="en-US"/>
        </w:rPr>
        <w:t>.</w:t>
      </w:r>
      <w:r>
        <w:rPr>
          <w:lang w:val="en-US"/>
        </w:rPr>
        <w:t xml:space="preserve"> </w:t>
      </w:r>
      <w:r w:rsidRPr="00915CEC">
        <w:rPr>
          <w:lang w:val="en-US"/>
        </w:rPr>
        <w:t>When “one thing (almost) leads to another”: a micro-level exploration of learning linkages in Brazil’s mining industry</w:t>
      </w:r>
      <w:r>
        <w:rPr>
          <w:lang w:val="en-US"/>
        </w:rPr>
        <w:t>.</w:t>
      </w:r>
      <w:r w:rsidRPr="00915CEC">
        <w:rPr>
          <w:lang w:val="en-US"/>
        </w:rPr>
        <w:t xml:space="preserve"> </w:t>
      </w:r>
      <w:r w:rsidRPr="00B7455D">
        <w:rPr>
          <w:i/>
          <w:iCs/>
          <w:lang w:val="en-US"/>
        </w:rPr>
        <w:t>Resources Policy</w:t>
      </w:r>
      <w:r>
        <w:rPr>
          <w:lang w:val="en-US"/>
        </w:rPr>
        <w:t>,</w:t>
      </w:r>
      <w:r w:rsidRPr="00915CEC">
        <w:rPr>
          <w:lang w:val="en-US"/>
        </w:rPr>
        <w:t xml:space="preserve"> 49</w:t>
      </w:r>
      <w:r>
        <w:rPr>
          <w:lang w:val="en-US"/>
        </w:rPr>
        <w:t>, pp</w:t>
      </w:r>
      <w:r w:rsidRPr="00915CEC">
        <w:rPr>
          <w:lang w:val="en-US"/>
        </w:rPr>
        <w:t xml:space="preserve">. 405–414. </w:t>
      </w:r>
      <w:r w:rsidRPr="00B021D7">
        <w:rPr>
          <w:lang w:val="en-US"/>
        </w:rPr>
        <w:t>https://doi.org/</w:t>
      </w:r>
      <w:r w:rsidRPr="00915CEC">
        <w:rPr>
          <w:lang w:val="en-US"/>
        </w:rPr>
        <w:t>10.1016/j.resourpol.2016.07.008.</w:t>
      </w:r>
    </w:p>
    <w:p w14:paraId="1A89875A" w14:textId="77777777" w:rsidR="00C73E62" w:rsidRPr="00B021D7" w:rsidRDefault="00C73E62" w:rsidP="00C73E62">
      <w:pPr>
        <w:pStyle w:val="a3"/>
        <w:rPr>
          <w:lang w:val="en-US"/>
        </w:rPr>
      </w:pPr>
      <w:r w:rsidRPr="00915CEC">
        <w:rPr>
          <w:lang w:val="en-US"/>
        </w:rPr>
        <w:t xml:space="preserve">Figueiredo P., Piana J. </w:t>
      </w:r>
      <w:r>
        <w:rPr>
          <w:lang w:val="en-US"/>
        </w:rPr>
        <w:t>(</w:t>
      </w:r>
      <w:r w:rsidRPr="00B021D7">
        <w:rPr>
          <w:lang w:val="en-US"/>
        </w:rPr>
        <w:t>2021</w:t>
      </w:r>
      <w:r>
        <w:rPr>
          <w:lang w:val="en-US"/>
        </w:rPr>
        <w:t>)</w:t>
      </w:r>
      <w:r w:rsidRPr="00B021D7">
        <w:rPr>
          <w:lang w:val="en-US"/>
        </w:rPr>
        <w:t>.</w:t>
      </w:r>
      <w:r>
        <w:rPr>
          <w:lang w:val="en-US"/>
        </w:rPr>
        <w:t xml:space="preserve"> </w:t>
      </w:r>
      <w:r w:rsidRPr="00915CEC">
        <w:rPr>
          <w:lang w:val="en-US"/>
        </w:rPr>
        <w:t>Technological learning strategies and technology upgrading intensity in the mining industry: evidence from Brazil</w:t>
      </w:r>
      <w:r>
        <w:rPr>
          <w:lang w:val="en-US"/>
        </w:rPr>
        <w:t>.</w:t>
      </w:r>
      <w:r w:rsidRPr="00915CEC">
        <w:rPr>
          <w:lang w:val="en-US"/>
        </w:rPr>
        <w:t xml:space="preserve"> </w:t>
      </w:r>
      <w:r w:rsidRPr="00B7455D">
        <w:rPr>
          <w:i/>
          <w:iCs/>
          <w:lang w:val="en-US"/>
        </w:rPr>
        <w:t>The Journal of Technology Transfer</w:t>
      </w:r>
      <w:r w:rsidRPr="00B021D7">
        <w:rPr>
          <w:lang w:val="en-US"/>
        </w:rPr>
        <w:t>, 46</w:t>
      </w:r>
      <w:r>
        <w:rPr>
          <w:lang w:val="en-US"/>
        </w:rPr>
        <w:t>,</w:t>
      </w:r>
      <w:r w:rsidRPr="00B021D7">
        <w:rPr>
          <w:lang w:val="en-US"/>
        </w:rPr>
        <w:t xml:space="preserve"> </w:t>
      </w:r>
      <w:r>
        <w:rPr>
          <w:lang w:val="en-US"/>
        </w:rPr>
        <w:t>pp</w:t>
      </w:r>
      <w:r w:rsidRPr="00B021D7">
        <w:rPr>
          <w:lang w:val="en-US"/>
        </w:rPr>
        <w:t>. 629–659. https://doi.org/10.1007/s10961-020-09810-9.</w:t>
      </w:r>
    </w:p>
    <w:p w14:paraId="291A5865" w14:textId="3FB52D11" w:rsidR="00C73E62" w:rsidRPr="009D1A92" w:rsidRDefault="00C73E62" w:rsidP="00C73E62">
      <w:pPr>
        <w:rPr>
          <w:rFonts w:cs="Times New Roman"/>
          <w:szCs w:val="28"/>
          <w:lang w:val="en-US"/>
        </w:rPr>
      </w:pPr>
      <w:r w:rsidRPr="009A23AB">
        <w:rPr>
          <w:rFonts w:cs="Times New Roman"/>
          <w:szCs w:val="28"/>
          <w:lang w:val="en-US"/>
        </w:rPr>
        <w:t>Ivanov N.A., Poussenkova N.N.,</w:t>
      </w:r>
      <w:r>
        <w:rPr>
          <w:rFonts w:cs="Times New Roman"/>
          <w:szCs w:val="28"/>
          <w:lang w:val="en-US"/>
        </w:rPr>
        <w:t xml:space="preserve"> </w:t>
      </w:r>
      <w:r w:rsidRPr="009A23AB">
        <w:rPr>
          <w:rFonts w:cs="Times New Roman"/>
          <w:szCs w:val="28"/>
          <w:lang w:val="en-US"/>
        </w:rPr>
        <w:t>Sokolov A.V. (2024). Production of Shale Oil and Gas in the</w:t>
      </w:r>
      <w:r>
        <w:rPr>
          <w:rFonts w:cs="Times New Roman"/>
          <w:szCs w:val="28"/>
          <w:lang w:val="en-US"/>
        </w:rPr>
        <w:t xml:space="preserve"> </w:t>
      </w:r>
      <w:r w:rsidRPr="009A23AB">
        <w:rPr>
          <w:rFonts w:cs="Times New Roman"/>
          <w:szCs w:val="28"/>
          <w:lang w:val="en-US"/>
        </w:rPr>
        <w:t xml:space="preserve">US: Current Status and Prospects. </w:t>
      </w:r>
      <w:r w:rsidRPr="00B7455D">
        <w:rPr>
          <w:rFonts w:cs="Times New Roman"/>
          <w:i/>
          <w:iCs/>
          <w:szCs w:val="28"/>
          <w:lang w:val="en-US"/>
        </w:rPr>
        <w:t>Georesursy = Georesources</w:t>
      </w:r>
      <w:r w:rsidRPr="009A23AB">
        <w:rPr>
          <w:rFonts w:cs="Times New Roman"/>
          <w:szCs w:val="28"/>
          <w:lang w:val="en-US"/>
        </w:rPr>
        <w:t>,</w:t>
      </w:r>
      <w:r>
        <w:rPr>
          <w:rFonts w:cs="Times New Roman"/>
          <w:szCs w:val="28"/>
          <w:lang w:val="en-US"/>
        </w:rPr>
        <w:t xml:space="preserve"> </w:t>
      </w:r>
      <w:r w:rsidRPr="009A23AB">
        <w:rPr>
          <w:rFonts w:cs="Times New Roman"/>
          <w:szCs w:val="28"/>
          <w:lang w:val="en-US"/>
        </w:rPr>
        <w:t>26(3), pp. 240–249. https://doi.org/10.18599/grs.2024.3.24</w:t>
      </w:r>
      <w:r w:rsidR="00F81F35">
        <w:rPr>
          <w:rFonts w:cs="Times New Roman"/>
          <w:szCs w:val="28"/>
          <w:lang w:val="en-US"/>
        </w:rPr>
        <w:t>.</w:t>
      </w:r>
    </w:p>
    <w:p w14:paraId="6B9554A6" w14:textId="77777777" w:rsidR="00F81F35" w:rsidRPr="0053595C" w:rsidRDefault="00F81F35" w:rsidP="00F81F35">
      <w:pPr>
        <w:pStyle w:val="a3"/>
        <w:rPr>
          <w:color w:val="0000FF"/>
          <w:szCs w:val="28"/>
          <w:lang w:val="en-US"/>
        </w:rPr>
      </w:pPr>
      <w:r w:rsidRPr="0053595C">
        <w:rPr>
          <w:color w:val="0000FF"/>
          <w:szCs w:val="28"/>
          <w:lang w:val="en-US"/>
        </w:rPr>
        <w:t>Konoplyanik A.A. (2019). On the new paradigm of global energy development, risks and challenges for Russia and the world. Moscow: The Institute of Economic Forecasting, 110 p.</w:t>
      </w:r>
    </w:p>
    <w:p w14:paraId="391A4680" w14:textId="23D29292" w:rsidR="00B62E69" w:rsidRPr="0053595C" w:rsidRDefault="00B62E69" w:rsidP="00C73E62">
      <w:pPr>
        <w:pStyle w:val="a3"/>
        <w:rPr>
          <w:color w:val="0000FF"/>
          <w:lang w:val="en-US"/>
        </w:rPr>
      </w:pPr>
      <w:r w:rsidRPr="0053595C">
        <w:rPr>
          <w:color w:val="0000FF"/>
          <w:lang w:val="en-US"/>
        </w:rPr>
        <w:lastRenderedPageBreak/>
        <w:t xml:space="preserve">Konoplyanik A.A. (2023). Smart investment regime for fuel and energy sector progress. </w:t>
      </w:r>
      <w:r w:rsidRPr="0053595C">
        <w:rPr>
          <w:i/>
          <w:iCs/>
          <w:color w:val="0000FF"/>
          <w:lang w:val="en-US"/>
        </w:rPr>
        <w:t>Oil and Gas Vertical</w:t>
      </w:r>
      <w:r w:rsidRPr="0053595C">
        <w:rPr>
          <w:color w:val="0000FF"/>
          <w:lang w:val="en-US"/>
        </w:rPr>
        <w:t>, 12, pp. 77–170</w:t>
      </w:r>
      <w:r w:rsidR="00D9278F" w:rsidRPr="0053595C">
        <w:rPr>
          <w:color w:val="0000FF"/>
          <w:lang w:val="en-US"/>
        </w:rPr>
        <w:t>.</w:t>
      </w:r>
    </w:p>
    <w:p w14:paraId="72BDE637" w14:textId="5D985C50" w:rsidR="00C73E62" w:rsidRPr="00C06E51" w:rsidRDefault="00C73E62" w:rsidP="00C73E62">
      <w:pPr>
        <w:pStyle w:val="a3"/>
        <w:rPr>
          <w:lang w:val="en-US"/>
        </w:rPr>
      </w:pPr>
      <w:r w:rsidRPr="00915CEC">
        <w:rPr>
          <w:lang w:val="en-US"/>
        </w:rPr>
        <w:t>Kryukov</w:t>
      </w:r>
      <w:r w:rsidRPr="00F720C2">
        <w:rPr>
          <w:lang w:val="en-US"/>
        </w:rPr>
        <w:t xml:space="preserve"> </w:t>
      </w:r>
      <w:r w:rsidRPr="00915CEC">
        <w:rPr>
          <w:lang w:val="en-US"/>
        </w:rPr>
        <w:t>V</w:t>
      </w:r>
      <w:r w:rsidRPr="00F720C2">
        <w:rPr>
          <w:lang w:val="en-US"/>
        </w:rPr>
        <w:t>.</w:t>
      </w:r>
      <w:r w:rsidRPr="00915CEC">
        <w:rPr>
          <w:lang w:val="en-US"/>
        </w:rPr>
        <w:t>A</w:t>
      </w:r>
      <w:r w:rsidRPr="00F720C2">
        <w:rPr>
          <w:lang w:val="en-US"/>
        </w:rPr>
        <w:t xml:space="preserve">., </w:t>
      </w:r>
      <w:r w:rsidRPr="00915CEC">
        <w:rPr>
          <w:lang w:val="en-US"/>
        </w:rPr>
        <w:t>Tokarev</w:t>
      </w:r>
      <w:r w:rsidRPr="00F720C2">
        <w:rPr>
          <w:lang w:val="en-US"/>
        </w:rPr>
        <w:t xml:space="preserve"> </w:t>
      </w:r>
      <w:r w:rsidRPr="00915CEC">
        <w:rPr>
          <w:lang w:val="en-US"/>
        </w:rPr>
        <w:t>A</w:t>
      </w:r>
      <w:r w:rsidRPr="00F720C2">
        <w:rPr>
          <w:lang w:val="en-US"/>
        </w:rPr>
        <w:t>.</w:t>
      </w:r>
      <w:r w:rsidRPr="00915CEC">
        <w:rPr>
          <w:lang w:val="en-US"/>
        </w:rPr>
        <w:t>N</w:t>
      </w:r>
      <w:r w:rsidRPr="00F720C2">
        <w:rPr>
          <w:lang w:val="en-US"/>
        </w:rPr>
        <w:t xml:space="preserve">. (2018). </w:t>
      </w:r>
      <w:r w:rsidRPr="00915CEC">
        <w:rPr>
          <w:lang w:val="en-US"/>
        </w:rPr>
        <w:t>Spatial Dynamics of the Oil and Gas Field Services Sector: Global Trends and Lessons for Russia</w:t>
      </w:r>
      <w:r>
        <w:rPr>
          <w:lang w:val="en-US"/>
        </w:rPr>
        <w:t>.</w:t>
      </w:r>
      <w:r w:rsidRPr="00915CEC">
        <w:rPr>
          <w:lang w:val="en-US"/>
        </w:rPr>
        <w:t xml:space="preserve"> </w:t>
      </w:r>
      <w:r w:rsidRPr="00B7455D">
        <w:rPr>
          <w:i/>
          <w:iCs/>
          <w:lang w:val="en-US"/>
        </w:rPr>
        <w:t>Regional Research of Russia</w:t>
      </w:r>
      <w:r>
        <w:rPr>
          <w:lang w:val="en-US"/>
        </w:rPr>
        <w:t>,</w:t>
      </w:r>
      <w:r w:rsidRPr="00C06E51">
        <w:rPr>
          <w:lang w:val="en-US"/>
        </w:rPr>
        <w:t xml:space="preserve"> 8(3)</w:t>
      </w:r>
      <w:r>
        <w:rPr>
          <w:lang w:val="en-US"/>
        </w:rPr>
        <w:t>,</w:t>
      </w:r>
      <w:r w:rsidRPr="00C06E51">
        <w:rPr>
          <w:lang w:val="en-US"/>
        </w:rPr>
        <w:t xml:space="preserve"> </w:t>
      </w:r>
      <w:r>
        <w:rPr>
          <w:lang w:val="en-US"/>
        </w:rPr>
        <w:t>pp</w:t>
      </w:r>
      <w:r w:rsidRPr="00C06E51">
        <w:rPr>
          <w:lang w:val="en-US"/>
        </w:rPr>
        <w:t>. 248–257. https://doi.org/10.1134/S2079970518030036.</w:t>
      </w:r>
    </w:p>
    <w:p w14:paraId="7A35CFC7" w14:textId="77777777" w:rsidR="00C73E62" w:rsidRPr="00915CEC" w:rsidRDefault="00C73E62" w:rsidP="00C73E62">
      <w:pPr>
        <w:pStyle w:val="a3"/>
        <w:rPr>
          <w:lang w:val="en-US"/>
        </w:rPr>
      </w:pPr>
      <w:r w:rsidRPr="00915CEC">
        <w:rPr>
          <w:lang w:val="en-US"/>
        </w:rPr>
        <w:t xml:space="preserve">Kryukov V.A., Tokarev A.N. </w:t>
      </w:r>
      <w:r>
        <w:rPr>
          <w:lang w:val="en-US"/>
        </w:rPr>
        <w:t>(</w:t>
      </w:r>
      <w:r w:rsidRPr="00915CEC">
        <w:rPr>
          <w:lang w:val="en-US"/>
        </w:rPr>
        <w:t>2023</w:t>
      </w:r>
      <w:r>
        <w:rPr>
          <w:lang w:val="en-US"/>
        </w:rPr>
        <w:t>)</w:t>
      </w:r>
      <w:r w:rsidRPr="00915CEC">
        <w:rPr>
          <w:lang w:val="en-US"/>
        </w:rPr>
        <w:t>.</w:t>
      </w:r>
      <w:r>
        <w:rPr>
          <w:lang w:val="en-US"/>
        </w:rPr>
        <w:t xml:space="preserve"> </w:t>
      </w:r>
      <w:r w:rsidRPr="00915CEC">
        <w:rPr>
          <w:lang w:val="en-US"/>
        </w:rPr>
        <w:t>Innovative-Resource Directions of Industrial Development: The Example of the South of the Tyumen Oblast</w:t>
      </w:r>
      <w:r>
        <w:rPr>
          <w:lang w:val="en-US"/>
        </w:rPr>
        <w:t>.</w:t>
      </w:r>
      <w:r w:rsidRPr="00915CEC">
        <w:rPr>
          <w:lang w:val="en-US"/>
        </w:rPr>
        <w:t xml:space="preserve"> </w:t>
      </w:r>
      <w:r w:rsidRPr="00B7455D">
        <w:rPr>
          <w:i/>
          <w:iCs/>
          <w:lang w:val="en-US"/>
        </w:rPr>
        <w:t>Studies on Russian Economic Development</w:t>
      </w:r>
      <w:r>
        <w:rPr>
          <w:lang w:val="en-US"/>
        </w:rPr>
        <w:t>,</w:t>
      </w:r>
      <w:r w:rsidRPr="00915CEC">
        <w:rPr>
          <w:lang w:val="en-US"/>
        </w:rPr>
        <w:t xml:space="preserve"> 34</w:t>
      </w:r>
      <w:r>
        <w:rPr>
          <w:lang w:val="en-US"/>
        </w:rPr>
        <w:t>(</w:t>
      </w:r>
      <w:r w:rsidRPr="00915CEC">
        <w:rPr>
          <w:lang w:val="en-US"/>
        </w:rPr>
        <w:t>1</w:t>
      </w:r>
      <w:r>
        <w:rPr>
          <w:lang w:val="en-US"/>
        </w:rPr>
        <w:t>),</w:t>
      </w:r>
      <w:r w:rsidRPr="00915CEC">
        <w:rPr>
          <w:lang w:val="en-US"/>
        </w:rPr>
        <w:t xml:space="preserve"> </w:t>
      </w:r>
      <w:r>
        <w:rPr>
          <w:lang w:val="en-US"/>
        </w:rPr>
        <w:t>pp</w:t>
      </w:r>
      <w:r w:rsidRPr="00915CEC">
        <w:rPr>
          <w:lang w:val="en-US"/>
        </w:rPr>
        <w:t xml:space="preserve">. 25–32. </w:t>
      </w:r>
      <w:r w:rsidRPr="00923E2E">
        <w:rPr>
          <w:lang w:val="en-US"/>
        </w:rPr>
        <w:t>https://doi.org/</w:t>
      </w:r>
      <w:r w:rsidRPr="00915CEC">
        <w:rPr>
          <w:lang w:val="en-US"/>
        </w:rPr>
        <w:t>10.1134/S1075700723010100.</w:t>
      </w:r>
    </w:p>
    <w:p w14:paraId="7D70F29C" w14:textId="77777777" w:rsidR="00C73E62" w:rsidRPr="00915CEC" w:rsidRDefault="00C73E62" w:rsidP="00C73E62">
      <w:pPr>
        <w:pStyle w:val="a3"/>
        <w:rPr>
          <w:lang w:val="en-US"/>
        </w:rPr>
      </w:pPr>
      <w:r w:rsidRPr="00915CEC">
        <w:rPr>
          <w:lang w:val="en-US"/>
        </w:rPr>
        <w:t xml:space="preserve">Kryukov V.A., Tokarev A.N. </w:t>
      </w:r>
      <w:r>
        <w:rPr>
          <w:lang w:val="en-US"/>
        </w:rPr>
        <w:t>(</w:t>
      </w:r>
      <w:r w:rsidRPr="00915CEC">
        <w:rPr>
          <w:lang w:val="en-US"/>
        </w:rPr>
        <w:t>2024</w:t>
      </w:r>
      <w:r>
        <w:rPr>
          <w:lang w:val="en-US"/>
        </w:rPr>
        <w:t>)</w:t>
      </w:r>
      <w:r w:rsidRPr="00915CEC">
        <w:rPr>
          <w:lang w:val="en-US"/>
        </w:rPr>
        <w:t>. Opportunities for the Development of Tyumen Oblast Based on Innovations for the Oil and Gas Sector, Production of High-Tech Equipment, and High-Tech Services</w:t>
      </w:r>
      <w:r>
        <w:rPr>
          <w:lang w:val="en-US"/>
        </w:rPr>
        <w:t>.</w:t>
      </w:r>
      <w:r w:rsidRPr="00915CEC">
        <w:rPr>
          <w:lang w:val="en-US"/>
        </w:rPr>
        <w:t xml:space="preserve"> </w:t>
      </w:r>
      <w:r w:rsidRPr="00B7455D">
        <w:rPr>
          <w:i/>
          <w:iCs/>
          <w:lang w:val="en-US"/>
        </w:rPr>
        <w:t>Regional Research of Russia</w:t>
      </w:r>
      <w:r>
        <w:rPr>
          <w:lang w:val="en-US"/>
        </w:rPr>
        <w:t>,</w:t>
      </w:r>
      <w:r w:rsidRPr="00915CEC">
        <w:rPr>
          <w:lang w:val="en-US"/>
        </w:rPr>
        <w:t xml:space="preserve"> 14</w:t>
      </w:r>
      <w:r>
        <w:rPr>
          <w:lang w:val="en-US"/>
        </w:rPr>
        <w:t>(</w:t>
      </w:r>
      <w:r w:rsidRPr="00915CEC">
        <w:rPr>
          <w:lang w:val="en-US"/>
        </w:rPr>
        <w:t>1</w:t>
      </w:r>
      <w:r>
        <w:rPr>
          <w:lang w:val="en-US"/>
        </w:rPr>
        <w:t>), pp</w:t>
      </w:r>
      <w:r w:rsidRPr="00915CEC">
        <w:rPr>
          <w:lang w:val="en-US"/>
        </w:rPr>
        <w:t xml:space="preserve">. 77–85. </w:t>
      </w:r>
      <w:r w:rsidRPr="00B021D7">
        <w:rPr>
          <w:lang w:val="en-US"/>
        </w:rPr>
        <w:t>https://doi.org/</w:t>
      </w:r>
      <w:r w:rsidRPr="00915CEC">
        <w:rPr>
          <w:lang w:val="en-US"/>
        </w:rPr>
        <w:t>10.1134/S2079970523600373.</w:t>
      </w:r>
    </w:p>
    <w:p w14:paraId="71184B79" w14:textId="77777777" w:rsidR="00C73E62" w:rsidRPr="0053595C" w:rsidRDefault="00C73E62" w:rsidP="00C73E62">
      <w:pPr>
        <w:rPr>
          <w:rFonts w:cs="Times New Roman"/>
          <w:szCs w:val="28"/>
          <w:lang w:val="en-US"/>
        </w:rPr>
      </w:pPr>
      <w:r w:rsidRPr="0053595C">
        <w:rPr>
          <w:rFonts w:cs="Times New Roman"/>
          <w:szCs w:val="28"/>
          <w:lang w:val="en-US"/>
        </w:rPr>
        <w:t xml:space="preserve">Lebedeva N.E. (2019). Trends in the development of oil and gas engineering in the Russian Federation in the context of the implementation of the import substitution policy. </w:t>
      </w:r>
      <w:r w:rsidRPr="0053595C">
        <w:rPr>
          <w:rFonts w:cs="Times New Roman"/>
          <w:i/>
          <w:iCs/>
          <w:szCs w:val="28"/>
          <w:lang w:val="en-US"/>
        </w:rPr>
        <w:t>Innovations and Investments</w:t>
      </w:r>
      <w:r w:rsidRPr="0053595C">
        <w:rPr>
          <w:rFonts w:cs="Times New Roman"/>
          <w:szCs w:val="28"/>
          <w:lang w:val="en-US"/>
        </w:rPr>
        <w:t>, 11, pp. 329–334.</w:t>
      </w:r>
    </w:p>
    <w:p w14:paraId="4C144416" w14:textId="77777777" w:rsidR="00C73E62" w:rsidRPr="00DB5DA5" w:rsidRDefault="00C73E62" w:rsidP="00C73E62">
      <w:pPr>
        <w:rPr>
          <w:rFonts w:cs="Times New Roman"/>
          <w:szCs w:val="28"/>
          <w:lang w:val="en-US"/>
        </w:rPr>
      </w:pPr>
      <w:r w:rsidRPr="00DB5DA5">
        <w:rPr>
          <w:rFonts w:cs="Times New Roman"/>
          <w:szCs w:val="28"/>
          <w:lang w:val="en-US"/>
        </w:rPr>
        <w:t xml:space="preserve">Litvinenko V.S., Petrov V.I., Vasilevskaya D.I., Yakovenko A.V., Naumov V.I., Ratnikov M.A. (2022). Assessing the Role of the State in Mineral Resource Management. </w:t>
      </w:r>
      <w:r w:rsidRPr="000E65BE">
        <w:rPr>
          <w:rFonts w:cs="Times New Roman"/>
          <w:i/>
          <w:iCs/>
          <w:szCs w:val="28"/>
          <w:lang w:val="en-US"/>
        </w:rPr>
        <w:t>Zapiski Gornogo Instituta</w:t>
      </w:r>
      <w:r w:rsidRPr="00DB5DA5">
        <w:rPr>
          <w:rFonts w:cs="Times New Roman"/>
          <w:szCs w:val="28"/>
          <w:lang w:val="en-US"/>
        </w:rPr>
        <w:t>, 259, p</w:t>
      </w:r>
      <w:r>
        <w:rPr>
          <w:rFonts w:cs="Times New Roman"/>
          <w:szCs w:val="28"/>
          <w:lang w:val="en-US"/>
        </w:rPr>
        <w:t>p</w:t>
      </w:r>
      <w:r w:rsidRPr="00DB5DA5">
        <w:rPr>
          <w:rFonts w:cs="Times New Roman"/>
          <w:szCs w:val="28"/>
          <w:lang w:val="en-US"/>
        </w:rPr>
        <w:t>. 95–111. https://doi.org/10.31897/PMI.2022.100.</w:t>
      </w:r>
    </w:p>
    <w:p w14:paraId="4084E5D2" w14:textId="77777777" w:rsidR="00C73E62" w:rsidRPr="00281A8E" w:rsidRDefault="00C73E62" w:rsidP="00C73E62">
      <w:pPr>
        <w:rPr>
          <w:rFonts w:cs="Times New Roman"/>
          <w:color w:val="0000FF"/>
          <w:szCs w:val="28"/>
          <w:lang w:val="en-US"/>
        </w:rPr>
      </w:pPr>
      <w:r w:rsidRPr="00DB5DA5">
        <w:rPr>
          <w:rFonts w:cs="Times New Roman"/>
          <w:szCs w:val="28"/>
          <w:lang w:val="en-US"/>
        </w:rPr>
        <w:t xml:space="preserve">Mitrova T., Grushevenko E. (2018). Technological Partnerships in the Oil and Gas Sector: Is the Global Experience of Cooperation Applicable to Russia? Moscow: Energy Center of the Skolkovo Moscow School of Management, </w:t>
      </w:r>
      <w:r w:rsidRPr="00281A8E">
        <w:rPr>
          <w:rFonts w:cs="Times New Roman"/>
          <w:color w:val="0000FF"/>
          <w:szCs w:val="28"/>
          <w:lang w:val="en-US"/>
        </w:rPr>
        <w:t>42 p.</w:t>
      </w:r>
    </w:p>
    <w:p w14:paraId="79350533" w14:textId="16B50ED9" w:rsidR="00C73E62" w:rsidRPr="00DB5DA5" w:rsidRDefault="00C73E62" w:rsidP="00C73E62">
      <w:pPr>
        <w:rPr>
          <w:rFonts w:cs="Times New Roman"/>
          <w:szCs w:val="28"/>
          <w:lang w:val="en-US"/>
        </w:rPr>
      </w:pPr>
      <w:r w:rsidRPr="00DB5DA5">
        <w:rPr>
          <w:rFonts w:cs="Times New Roman"/>
          <w:szCs w:val="28"/>
          <w:lang w:val="en-US"/>
        </w:rPr>
        <w:t>Polterovich V.M. (2016). Institutions of catch-up development (towards a draft of a new model of economic development of Russia)</w:t>
      </w:r>
      <w:r w:rsidR="000E65BE" w:rsidRPr="000E65BE">
        <w:rPr>
          <w:rFonts w:cs="Times New Roman"/>
          <w:szCs w:val="28"/>
          <w:lang w:val="en-US"/>
        </w:rPr>
        <w:t>.</w:t>
      </w:r>
      <w:r w:rsidRPr="00DB5DA5">
        <w:rPr>
          <w:rFonts w:cs="Times New Roman"/>
          <w:szCs w:val="28"/>
          <w:lang w:val="en-US"/>
        </w:rPr>
        <w:t xml:space="preserve"> </w:t>
      </w:r>
      <w:r w:rsidRPr="000E65BE">
        <w:rPr>
          <w:rFonts w:cs="Times New Roman"/>
          <w:i/>
          <w:iCs/>
          <w:szCs w:val="28"/>
          <w:lang w:val="en-US"/>
        </w:rPr>
        <w:t>Economic and social changes: facts, trends, forecast</w:t>
      </w:r>
      <w:r w:rsidRPr="00DB5DA5">
        <w:rPr>
          <w:rFonts w:cs="Times New Roman"/>
          <w:szCs w:val="28"/>
          <w:lang w:val="en-US"/>
        </w:rPr>
        <w:t>, 5(47), pp. 34–56. https://doi.org/10.15838/esc.2016.5.47.2.</w:t>
      </w:r>
    </w:p>
    <w:p w14:paraId="021573A3" w14:textId="77777777" w:rsidR="00C73E62" w:rsidRPr="00DB5DA5" w:rsidRDefault="00C73E62" w:rsidP="00C73E62">
      <w:pPr>
        <w:rPr>
          <w:rFonts w:cs="Times New Roman"/>
          <w:szCs w:val="28"/>
          <w:lang w:val="en-US"/>
        </w:rPr>
      </w:pPr>
      <w:r w:rsidRPr="00DB5DA5">
        <w:rPr>
          <w:rFonts w:cs="Times New Roman"/>
          <w:szCs w:val="28"/>
          <w:lang w:val="en-US"/>
        </w:rPr>
        <w:t xml:space="preserve">Polterovich V.M. (2023). Catch-up Development under Sanctions: Strategy of Positive Cooperation. </w:t>
      </w:r>
      <w:r w:rsidRPr="000E65BE">
        <w:rPr>
          <w:rFonts w:cs="Times New Roman"/>
          <w:i/>
          <w:iCs/>
          <w:szCs w:val="28"/>
          <w:lang w:val="en-US"/>
        </w:rPr>
        <w:t>Terra Economicus</w:t>
      </w:r>
      <w:r w:rsidRPr="00DB5DA5">
        <w:rPr>
          <w:rFonts w:cs="Times New Roman"/>
          <w:szCs w:val="28"/>
          <w:lang w:val="en-US"/>
        </w:rPr>
        <w:t>, 21(3), p. 6–16. https://doi.org/10.18522/2073-6606-2023-21-3-6-16.</w:t>
      </w:r>
    </w:p>
    <w:p w14:paraId="0C01DC4E" w14:textId="51E1C8EE" w:rsidR="00C73E62" w:rsidRPr="00DB5DA5" w:rsidRDefault="00C73E62" w:rsidP="00C73E62">
      <w:pPr>
        <w:rPr>
          <w:rFonts w:cs="Times New Roman"/>
          <w:szCs w:val="28"/>
          <w:lang w:val="en-US"/>
        </w:rPr>
      </w:pPr>
      <w:r w:rsidRPr="00DB5DA5">
        <w:rPr>
          <w:rFonts w:cs="Times New Roman"/>
          <w:szCs w:val="28"/>
          <w:lang w:val="en-US"/>
        </w:rPr>
        <w:t>Polterovich V.M. (2024). Formation of domestic value added networks</w:t>
      </w:r>
      <w:r w:rsidR="000E65BE" w:rsidRPr="000E65BE">
        <w:rPr>
          <w:rFonts w:cs="Times New Roman"/>
          <w:szCs w:val="28"/>
          <w:lang w:val="en-US"/>
        </w:rPr>
        <w:t>.</w:t>
      </w:r>
      <w:r w:rsidRPr="00DB5DA5">
        <w:rPr>
          <w:rFonts w:cs="Times New Roman"/>
          <w:szCs w:val="28"/>
          <w:lang w:val="en-US"/>
        </w:rPr>
        <w:t xml:space="preserve"> </w:t>
      </w:r>
      <w:r w:rsidRPr="000E65BE">
        <w:rPr>
          <w:rFonts w:cs="Times New Roman"/>
          <w:i/>
          <w:iCs/>
          <w:szCs w:val="28"/>
          <w:lang w:val="en-US"/>
        </w:rPr>
        <w:t>Journal of the New Economic Association</w:t>
      </w:r>
      <w:r w:rsidRPr="00DB5DA5">
        <w:rPr>
          <w:rFonts w:cs="Times New Roman"/>
          <w:szCs w:val="28"/>
          <w:lang w:val="en-US"/>
        </w:rPr>
        <w:t>, 3(64), pp. 251–257. https://doi.org/10.31737/22212264_2024_3_251-257.</w:t>
      </w:r>
    </w:p>
    <w:p w14:paraId="19D0106F" w14:textId="77777777" w:rsidR="00FB0096" w:rsidRPr="009F16A9" w:rsidRDefault="00FB0096" w:rsidP="00FB0096">
      <w:pPr>
        <w:rPr>
          <w:rFonts w:cs="Times New Roman"/>
          <w:color w:val="0000FF"/>
          <w:szCs w:val="28"/>
          <w:lang w:val="en-US"/>
        </w:rPr>
      </w:pPr>
      <w:r w:rsidRPr="0053595C">
        <w:rPr>
          <w:rFonts w:cs="Times New Roman"/>
          <w:color w:val="0000FF"/>
          <w:szCs w:val="28"/>
          <w:lang w:val="en-US"/>
        </w:rPr>
        <w:t xml:space="preserve">Sapir J. (2022). Will the planned economy be our future? </w:t>
      </w:r>
      <w:r w:rsidRPr="0053595C">
        <w:rPr>
          <w:rFonts w:cs="Times New Roman"/>
          <w:i/>
          <w:iCs/>
          <w:color w:val="0000FF"/>
          <w:szCs w:val="28"/>
          <w:lang w:val="en-US"/>
        </w:rPr>
        <w:t>Studies on Russian Economic Development</w:t>
      </w:r>
      <w:r w:rsidRPr="0053595C">
        <w:rPr>
          <w:rFonts w:cs="Times New Roman"/>
          <w:color w:val="0000FF"/>
          <w:szCs w:val="28"/>
          <w:lang w:val="en-US"/>
        </w:rPr>
        <w:t xml:space="preserve">, 6 (195), </w:t>
      </w:r>
      <w:r w:rsidRPr="0053595C">
        <w:rPr>
          <w:rFonts w:cs="Times New Roman"/>
          <w:color w:val="0000FF"/>
          <w:szCs w:val="28"/>
        </w:rPr>
        <w:t>с</w:t>
      </w:r>
      <w:r w:rsidRPr="0053595C">
        <w:rPr>
          <w:rFonts w:cs="Times New Roman"/>
          <w:color w:val="0000FF"/>
          <w:szCs w:val="28"/>
          <w:lang w:val="en-US"/>
        </w:rPr>
        <w:t>. 6</w:t>
      </w:r>
      <w:r w:rsidRPr="0053595C">
        <w:rPr>
          <w:lang w:val="en-US"/>
        </w:rPr>
        <w:t>–</w:t>
      </w:r>
      <w:r w:rsidRPr="0053595C">
        <w:rPr>
          <w:rFonts w:cs="Times New Roman"/>
          <w:color w:val="0000FF"/>
          <w:szCs w:val="28"/>
          <w:lang w:val="en-US"/>
        </w:rPr>
        <w:t>26. DOI: 10.47711/0868-6351-195-6-26.</w:t>
      </w:r>
    </w:p>
    <w:p w14:paraId="1B63CDF9" w14:textId="77777777" w:rsidR="00D9278F" w:rsidRPr="00D9278F" w:rsidRDefault="00D9278F" w:rsidP="00D9278F">
      <w:pPr>
        <w:rPr>
          <w:rFonts w:cs="Times New Roman"/>
          <w:color w:val="0000FF"/>
          <w:szCs w:val="28"/>
          <w:lang w:val="en-US"/>
        </w:rPr>
      </w:pPr>
      <w:r w:rsidRPr="00281A8E">
        <w:rPr>
          <w:rFonts w:cs="Times New Roman"/>
          <w:color w:val="0000FF"/>
          <w:szCs w:val="28"/>
          <w:lang w:val="en-US"/>
        </w:rPr>
        <w:t xml:space="preserve">State </w:t>
      </w:r>
      <w:r w:rsidRPr="00DB5DA5">
        <w:rPr>
          <w:rFonts w:cs="Times New Roman"/>
          <w:szCs w:val="28"/>
          <w:lang w:val="en-US"/>
        </w:rPr>
        <w:t xml:space="preserve">report "On the status and use of mineral resources of the Russian Federation </w:t>
      </w:r>
      <w:r w:rsidRPr="00D9278F">
        <w:rPr>
          <w:rFonts w:cs="Times New Roman"/>
          <w:color w:val="0000FF"/>
          <w:szCs w:val="28"/>
          <w:lang w:val="en-US"/>
        </w:rPr>
        <w:t>in 2023". (2024). M.: MNRE, 716 p.</w:t>
      </w:r>
    </w:p>
    <w:p w14:paraId="01B143D2" w14:textId="0834AF80" w:rsidR="004F4CCA" w:rsidRPr="009F16A9" w:rsidRDefault="004F4CCA" w:rsidP="004F4CCA">
      <w:pPr>
        <w:rPr>
          <w:rFonts w:cs="Times New Roman"/>
          <w:color w:val="0000FF"/>
          <w:szCs w:val="28"/>
          <w:lang w:val="en-US"/>
        </w:rPr>
      </w:pPr>
      <w:r w:rsidRPr="0053595C">
        <w:rPr>
          <w:rFonts w:cs="Times New Roman"/>
          <w:color w:val="0000FF"/>
          <w:szCs w:val="28"/>
          <w:lang w:val="en-US"/>
        </w:rPr>
        <w:t>The Shale Revolution and the Global Energy Transition. (2019). Ed. by N.A. Ivanov. Moscow; St. Petersburg: Nestor-History, 540 p.</w:t>
      </w:r>
    </w:p>
    <w:p w14:paraId="3E6D56A2" w14:textId="0CEF5822" w:rsidR="00C73E62" w:rsidRPr="00B021D7" w:rsidRDefault="00C73E62" w:rsidP="00C73E62">
      <w:pPr>
        <w:pStyle w:val="a3"/>
        <w:rPr>
          <w:lang w:val="en-US"/>
        </w:rPr>
      </w:pPr>
      <w:r w:rsidRPr="00915CEC">
        <w:rPr>
          <w:lang w:val="en-US"/>
        </w:rPr>
        <w:t xml:space="preserve">Thomas M., Pidgeon N., Bradshaw M. </w:t>
      </w:r>
      <w:r>
        <w:rPr>
          <w:lang w:val="en-US"/>
        </w:rPr>
        <w:t>(</w:t>
      </w:r>
      <w:r w:rsidRPr="00B021D7">
        <w:rPr>
          <w:lang w:val="en-US"/>
        </w:rPr>
        <w:t>2018</w:t>
      </w:r>
      <w:r>
        <w:rPr>
          <w:lang w:val="en-US"/>
        </w:rPr>
        <w:t>)</w:t>
      </w:r>
      <w:r w:rsidRPr="00B021D7">
        <w:rPr>
          <w:lang w:val="en-US"/>
        </w:rPr>
        <w:t>.</w:t>
      </w:r>
      <w:r>
        <w:rPr>
          <w:lang w:val="en-US"/>
        </w:rPr>
        <w:t xml:space="preserve"> </w:t>
      </w:r>
      <w:r w:rsidRPr="00915CEC">
        <w:rPr>
          <w:lang w:val="en-US"/>
        </w:rPr>
        <w:t>Shale development in the US and Canada: A review of engagement practice</w:t>
      </w:r>
      <w:r>
        <w:rPr>
          <w:lang w:val="en-US"/>
        </w:rPr>
        <w:t>.</w:t>
      </w:r>
      <w:r w:rsidRPr="00915CEC">
        <w:rPr>
          <w:lang w:val="en-US"/>
        </w:rPr>
        <w:t xml:space="preserve"> </w:t>
      </w:r>
      <w:r w:rsidRPr="00B7455D">
        <w:rPr>
          <w:i/>
          <w:iCs/>
          <w:lang w:val="en-US"/>
        </w:rPr>
        <w:t>The Extractive Industries and So</w:t>
      </w:r>
      <w:r w:rsidRPr="00915CEC">
        <w:rPr>
          <w:lang w:val="en-US"/>
        </w:rPr>
        <w:t>ciety</w:t>
      </w:r>
      <w:r>
        <w:rPr>
          <w:lang w:val="en-US"/>
        </w:rPr>
        <w:t>,</w:t>
      </w:r>
      <w:r w:rsidRPr="00915CEC">
        <w:rPr>
          <w:lang w:val="en-US"/>
        </w:rPr>
        <w:t xml:space="preserve"> </w:t>
      </w:r>
      <w:r w:rsidRPr="00B021D7">
        <w:rPr>
          <w:lang w:val="en-US"/>
        </w:rPr>
        <w:t>5(4)</w:t>
      </w:r>
      <w:r>
        <w:rPr>
          <w:lang w:val="en-US"/>
        </w:rPr>
        <w:t>,</w:t>
      </w:r>
      <w:r w:rsidRPr="00B021D7">
        <w:rPr>
          <w:lang w:val="en-US"/>
        </w:rPr>
        <w:t xml:space="preserve"> </w:t>
      </w:r>
      <w:r>
        <w:rPr>
          <w:lang w:val="en-US"/>
        </w:rPr>
        <w:t>pp</w:t>
      </w:r>
      <w:r w:rsidRPr="00B021D7">
        <w:rPr>
          <w:lang w:val="en-US"/>
        </w:rPr>
        <w:t>. 557–569. https://doi.org/10.1016/j.exis.2018.07.011.</w:t>
      </w:r>
    </w:p>
    <w:p w14:paraId="5DA811C0" w14:textId="77777777" w:rsidR="004F4CCA" w:rsidRPr="009F16A9" w:rsidRDefault="004F4CCA" w:rsidP="004F4CCA">
      <w:pPr>
        <w:rPr>
          <w:rFonts w:cs="Times New Roman"/>
          <w:szCs w:val="28"/>
          <w:lang w:val="en-US"/>
        </w:rPr>
      </w:pPr>
      <w:r w:rsidRPr="0053595C">
        <w:rPr>
          <w:rFonts w:cs="Times New Roman"/>
          <w:color w:val="0000FF"/>
          <w:szCs w:val="28"/>
          <w:lang w:val="en-US"/>
        </w:rPr>
        <w:lastRenderedPageBreak/>
        <w:t xml:space="preserve">Truel J.-L., Rassadina A.K. (2017). The experience of French planning in the context of the task of modernizing the Russian economy. </w:t>
      </w:r>
      <w:r w:rsidRPr="0053595C">
        <w:rPr>
          <w:rFonts w:cs="Times New Roman"/>
          <w:i/>
          <w:iCs/>
          <w:color w:val="0000FF"/>
          <w:szCs w:val="28"/>
          <w:lang w:val="en-US"/>
        </w:rPr>
        <w:t>Economic revival of Russia</w:t>
      </w:r>
      <w:r w:rsidRPr="0053595C">
        <w:rPr>
          <w:rFonts w:cs="Times New Roman"/>
          <w:color w:val="0000FF"/>
          <w:szCs w:val="28"/>
          <w:lang w:val="en-US"/>
        </w:rPr>
        <w:t>, 1(51), pp. 51–62</w:t>
      </w:r>
      <w:r w:rsidRPr="0053595C">
        <w:rPr>
          <w:rFonts w:cs="Times New Roman"/>
          <w:szCs w:val="28"/>
          <w:lang w:val="en-US"/>
        </w:rPr>
        <w:t>.</w:t>
      </w:r>
    </w:p>
    <w:p w14:paraId="03A15B77" w14:textId="77777777" w:rsidR="00C73E62" w:rsidRDefault="00C73E62" w:rsidP="00C73E62">
      <w:pPr>
        <w:rPr>
          <w:rFonts w:cs="Times New Roman"/>
          <w:szCs w:val="28"/>
          <w:lang w:val="en-US"/>
        </w:rPr>
      </w:pPr>
      <w:r w:rsidRPr="00DB5DA5">
        <w:rPr>
          <w:rFonts w:cs="Times New Roman"/>
          <w:szCs w:val="28"/>
          <w:lang w:val="en-US"/>
        </w:rPr>
        <w:t xml:space="preserve">Ustyuzhanina E.V., Ustyuzhanin V.L. (2024). Value creation networks as participants in the indicative planning system. </w:t>
      </w:r>
      <w:r w:rsidRPr="00B7455D">
        <w:rPr>
          <w:rFonts w:cs="Times New Roman"/>
          <w:i/>
          <w:iCs/>
          <w:szCs w:val="28"/>
          <w:lang w:val="en-US"/>
        </w:rPr>
        <w:t>Creative Economy</w:t>
      </w:r>
      <w:r w:rsidRPr="00DB5DA5">
        <w:rPr>
          <w:rFonts w:cs="Times New Roman"/>
          <w:szCs w:val="28"/>
          <w:lang w:val="en-US"/>
        </w:rPr>
        <w:t>, 18(10). https://doi.org/10.18334/ce.18.10.121621.</w:t>
      </w:r>
    </w:p>
    <w:p w14:paraId="603E8785" w14:textId="77777777" w:rsidR="00C73E62" w:rsidRPr="00DB5DA5" w:rsidRDefault="00C73E62" w:rsidP="00C73E62">
      <w:pPr>
        <w:rPr>
          <w:rFonts w:cs="Times New Roman"/>
          <w:szCs w:val="28"/>
          <w:lang w:val="en-US"/>
        </w:rPr>
      </w:pPr>
      <w:r w:rsidRPr="00DB5DA5">
        <w:rPr>
          <w:rFonts w:cs="Times New Roman"/>
          <w:szCs w:val="28"/>
          <w:lang w:val="en-US"/>
        </w:rPr>
        <w:t xml:space="preserve">Vasiliev A. A. (2024). Oil and gas cluster as a driver for the development of the Tyumen region. </w:t>
      </w:r>
      <w:r w:rsidRPr="00B7455D">
        <w:rPr>
          <w:rFonts w:cs="Times New Roman"/>
          <w:i/>
          <w:iCs/>
          <w:szCs w:val="28"/>
          <w:lang w:val="en-US"/>
        </w:rPr>
        <w:t>ECO</w:t>
      </w:r>
      <w:r w:rsidRPr="00DB5DA5">
        <w:rPr>
          <w:rFonts w:cs="Times New Roman"/>
          <w:szCs w:val="28"/>
          <w:lang w:val="en-US"/>
        </w:rPr>
        <w:t>, 2, pp. 47–60. https://doi.org/10.30680/ECO0131-7652-2024-2-47-60.</w:t>
      </w:r>
    </w:p>
    <w:p w14:paraId="59E1E85C" w14:textId="77777777" w:rsidR="00C73E62" w:rsidRPr="00DB5DA5" w:rsidRDefault="00C73E62" w:rsidP="00C73E62">
      <w:pPr>
        <w:rPr>
          <w:rFonts w:cs="Times New Roman"/>
          <w:szCs w:val="28"/>
          <w:lang w:val="en-US"/>
        </w:rPr>
      </w:pPr>
      <w:r w:rsidRPr="00DB5DA5">
        <w:rPr>
          <w:rFonts w:cs="Times New Roman"/>
          <w:szCs w:val="28"/>
          <w:lang w:val="en-US"/>
        </w:rPr>
        <w:t>Zhdaneev O.V., Bravkov P.V., Durdyeva A.A., Zuev S.S., Korenev V.V., Frolov K.N., Chuboksarov V.S. (2020). Technical policy issues of the fuel and energy complex industries of the Russian Federation. M.: Nauka, 304 p. https://doi.org/10.7868/9785020408241</w:t>
      </w:r>
    </w:p>
    <w:p w14:paraId="4A9BF29B" w14:textId="77777777" w:rsidR="00C73E62" w:rsidRPr="00DB5DA5" w:rsidRDefault="00C73E62" w:rsidP="00C73E62">
      <w:pPr>
        <w:rPr>
          <w:rFonts w:cs="Times New Roman"/>
          <w:szCs w:val="28"/>
          <w:lang w:val="en-US"/>
        </w:rPr>
      </w:pPr>
      <w:r w:rsidRPr="00DB5DA5">
        <w:rPr>
          <w:rFonts w:cs="Times New Roman"/>
          <w:szCs w:val="28"/>
          <w:lang w:val="en-US"/>
        </w:rPr>
        <w:t xml:space="preserve">Zhdaneev O.V. (2020). Competence Center for Technological Development of the Fuel and Energy Complex of the Russian Energy Agency of the Ministry of Energy of Russia. </w:t>
      </w:r>
      <w:r w:rsidRPr="00B7455D">
        <w:rPr>
          <w:rFonts w:cs="Times New Roman"/>
          <w:i/>
          <w:iCs/>
          <w:szCs w:val="28"/>
          <w:lang w:val="en-US"/>
        </w:rPr>
        <w:t>Oil Industry</w:t>
      </w:r>
      <w:r w:rsidRPr="00DB5DA5">
        <w:rPr>
          <w:rFonts w:cs="Times New Roman"/>
          <w:szCs w:val="28"/>
          <w:lang w:val="en-US"/>
        </w:rPr>
        <w:t>, 8, p. 11.</w:t>
      </w:r>
    </w:p>
    <w:p w14:paraId="5BB6EE56" w14:textId="77777777" w:rsidR="00C73E62" w:rsidRPr="00DB5DA5" w:rsidRDefault="00C73E62" w:rsidP="00C73E62">
      <w:pPr>
        <w:rPr>
          <w:rFonts w:cs="Times New Roman"/>
          <w:szCs w:val="28"/>
          <w:lang w:val="en-US"/>
        </w:rPr>
      </w:pPr>
      <w:r w:rsidRPr="00DB5DA5">
        <w:rPr>
          <w:rFonts w:cs="Times New Roman"/>
          <w:szCs w:val="28"/>
          <w:lang w:val="en-US"/>
        </w:rPr>
        <w:t xml:space="preserve">Zhdaneev O.V. (2022). Ensuring technological sovereignty of the fuel and energy complex industries of the Russian Federation. </w:t>
      </w:r>
      <w:r w:rsidRPr="00B7455D">
        <w:rPr>
          <w:rFonts w:cs="Times New Roman"/>
          <w:i/>
          <w:iCs/>
          <w:szCs w:val="28"/>
          <w:lang w:val="en-US"/>
        </w:rPr>
        <w:t>Notes of the Mining Institute</w:t>
      </w:r>
      <w:r w:rsidRPr="00DB5DA5">
        <w:rPr>
          <w:rFonts w:cs="Times New Roman"/>
          <w:szCs w:val="28"/>
          <w:lang w:val="en-US"/>
        </w:rPr>
        <w:t>, 258, p</w:t>
      </w:r>
      <w:r>
        <w:rPr>
          <w:rFonts w:cs="Times New Roman"/>
          <w:szCs w:val="28"/>
          <w:lang w:val="en-US"/>
        </w:rPr>
        <w:t>p</w:t>
      </w:r>
      <w:r w:rsidRPr="00DB5DA5">
        <w:rPr>
          <w:rFonts w:cs="Times New Roman"/>
          <w:szCs w:val="28"/>
          <w:lang w:val="en-US"/>
        </w:rPr>
        <w:t>. 1061–1078. https://doi.org/10.31897/PMI.2022.107.</w:t>
      </w:r>
    </w:p>
    <w:p w14:paraId="13E244C4" w14:textId="77777777" w:rsidR="00C73E62" w:rsidRDefault="00C73E62" w:rsidP="00C73E62">
      <w:pPr>
        <w:rPr>
          <w:rFonts w:cs="Times New Roman"/>
          <w:szCs w:val="28"/>
          <w:lang w:val="en-US"/>
        </w:rPr>
      </w:pPr>
    </w:p>
    <w:p w14:paraId="6A74DFC7" w14:textId="77777777" w:rsidR="00C73E62" w:rsidRPr="006F07DE" w:rsidRDefault="00C73E62" w:rsidP="00C73E62">
      <w:pPr>
        <w:pStyle w:val="a8"/>
        <w:tabs>
          <w:tab w:val="left" w:pos="0"/>
        </w:tabs>
        <w:ind w:left="0" w:right="31" w:firstLine="567"/>
        <w:rPr>
          <w:b/>
          <w:szCs w:val="28"/>
          <w:lang w:val="en-US"/>
        </w:rPr>
      </w:pPr>
      <w:r w:rsidRPr="006F07DE">
        <w:rPr>
          <w:b/>
          <w:szCs w:val="28"/>
          <w:lang w:val="en-US"/>
        </w:rPr>
        <w:t>About the Authors</w:t>
      </w:r>
    </w:p>
    <w:p w14:paraId="20B9C790" w14:textId="77777777" w:rsidR="00C73E62" w:rsidRPr="007A4AB6" w:rsidRDefault="00C73E62" w:rsidP="00C73E62">
      <w:pPr>
        <w:autoSpaceDE w:val="0"/>
        <w:autoSpaceDN w:val="0"/>
        <w:adjustRightInd w:val="0"/>
        <w:spacing w:after="0"/>
        <w:rPr>
          <w:rFonts w:eastAsia="TimesNewRomanPSMT" w:cs="Times New Roman"/>
          <w:szCs w:val="28"/>
          <w:lang w:val="en-US"/>
        </w:rPr>
      </w:pPr>
      <w:r w:rsidRPr="007A4AB6">
        <w:rPr>
          <w:rFonts w:cs="Times New Roman"/>
          <w:i/>
          <w:iCs/>
          <w:szCs w:val="28"/>
          <w:lang w:val="en-US"/>
        </w:rPr>
        <w:t xml:space="preserve">Valeriy A. Kryukov </w:t>
      </w:r>
      <w:r w:rsidRPr="007A4AB6">
        <w:rPr>
          <w:rFonts w:eastAsia="TimesNewRomanPSMT" w:cs="Times New Roman"/>
          <w:szCs w:val="28"/>
          <w:lang w:val="en-US"/>
        </w:rPr>
        <w:t>– Dr. Sci. (Economics), Professor, Director,</w:t>
      </w:r>
    </w:p>
    <w:p w14:paraId="122992DE" w14:textId="77777777" w:rsidR="00C73E62" w:rsidRPr="007A4AB6" w:rsidRDefault="00C73E62" w:rsidP="00C73E62">
      <w:pPr>
        <w:autoSpaceDE w:val="0"/>
        <w:autoSpaceDN w:val="0"/>
        <w:adjustRightInd w:val="0"/>
        <w:spacing w:after="0"/>
        <w:rPr>
          <w:rFonts w:eastAsia="TimesNewRomanPSMT" w:cs="Times New Roman"/>
          <w:szCs w:val="28"/>
          <w:lang w:val="en-US"/>
        </w:rPr>
      </w:pPr>
      <w:r w:rsidRPr="007A4AB6">
        <w:rPr>
          <w:rFonts w:eastAsia="TimesNewRomanPSMT" w:cs="Times New Roman"/>
          <w:szCs w:val="28"/>
          <w:lang w:val="en-US"/>
        </w:rPr>
        <w:t>Institute of Economics and Industrial Engineering of the Siberian</w:t>
      </w:r>
      <w:r>
        <w:rPr>
          <w:rFonts w:eastAsia="TimesNewRomanPSMT" w:cs="Times New Roman"/>
          <w:szCs w:val="28"/>
          <w:lang w:val="en-US"/>
        </w:rPr>
        <w:t xml:space="preserve"> </w:t>
      </w:r>
      <w:r w:rsidRPr="007A4AB6">
        <w:rPr>
          <w:rFonts w:eastAsia="TimesNewRomanPSMT" w:cs="Times New Roman"/>
          <w:szCs w:val="28"/>
          <w:lang w:val="en-US"/>
        </w:rPr>
        <w:t>Branch of the Russian Academy of Sciences</w:t>
      </w:r>
    </w:p>
    <w:p w14:paraId="5FF400EC" w14:textId="77777777" w:rsidR="00C73E62" w:rsidRPr="007A4AB6" w:rsidRDefault="00C73E62" w:rsidP="00C73E62">
      <w:pPr>
        <w:rPr>
          <w:rFonts w:cs="Times New Roman"/>
          <w:szCs w:val="28"/>
          <w:lang w:val="en-US"/>
        </w:rPr>
      </w:pPr>
      <w:r w:rsidRPr="007A4AB6">
        <w:rPr>
          <w:rFonts w:eastAsia="TimesNewRomanPSMT" w:cs="Times New Roman"/>
          <w:szCs w:val="28"/>
          <w:lang w:val="en-US"/>
        </w:rPr>
        <w:t>17 A</w:t>
      </w:r>
      <w:r w:rsidRPr="007A4AB6">
        <w:rPr>
          <w:rFonts w:eastAsia="TimesNewRomanPSMT" w:cs="Times New Roman"/>
          <w:szCs w:val="28"/>
        </w:rPr>
        <w:t>с</w:t>
      </w:r>
      <w:r w:rsidRPr="007A4AB6">
        <w:rPr>
          <w:rFonts w:eastAsia="TimesNewRomanPSMT" w:cs="Times New Roman"/>
          <w:szCs w:val="28"/>
          <w:lang w:val="en-US"/>
        </w:rPr>
        <w:t>. Lavrentiev av., Novosibirsk, 630090, Russian Federation</w:t>
      </w:r>
    </w:p>
    <w:p w14:paraId="2ED4595E" w14:textId="77777777" w:rsidR="00C73E62" w:rsidRDefault="00C73E62" w:rsidP="00C73E62">
      <w:pPr>
        <w:rPr>
          <w:rFonts w:cs="Times New Roman"/>
          <w:szCs w:val="28"/>
          <w:lang w:val="en-US"/>
        </w:rPr>
      </w:pPr>
      <w:r w:rsidRPr="00971123">
        <w:rPr>
          <w:rFonts w:cs="Times New Roman"/>
          <w:szCs w:val="28"/>
          <w:lang w:val="en-US"/>
        </w:rPr>
        <w:t>E-mail:</w:t>
      </w:r>
      <w:r>
        <w:rPr>
          <w:rFonts w:cs="Times New Roman"/>
          <w:szCs w:val="28"/>
          <w:lang w:val="en-US"/>
        </w:rPr>
        <w:t xml:space="preserve"> Kryukov@ieie.nsc.ru</w:t>
      </w:r>
    </w:p>
    <w:p w14:paraId="633542FB" w14:textId="77777777" w:rsidR="00C73E62" w:rsidRPr="007A4AB6" w:rsidRDefault="00C73E62" w:rsidP="00C73E62">
      <w:pPr>
        <w:autoSpaceDE w:val="0"/>
        <w:autoSpaceDN w:val="0"/>
        <w:adjustRightInd w:val="0"/>
        <w:spacing w:after="0"/>
        <w:rPr>
          <w:rFonts w:eastAsia="TimesNewRomanPSMT" w:cs="Times New Roman"/>
          <w:szCs w:val="28"/>
          <w:lang w:val="en-US"/>
        </w:rPr>
      </w:pPr>
      <w:r w:rsidRPr="007A4AB6">
        <w:rPr>
          <w:rFonts w:cs="Times New Roman"/>
          <w:i/>
          <w:iCs/>
          <w:szCs w:val="28"/>
          <w:lang w:val="en-US"/>
        </w:rPr>
        <w:t>A</w:t>
      </w:r>
      <w:r>
        <w:rPr>
          <w:rFonts w:cs="Times New Roman"/>
          <w:i/>
          <w:iCs/>
          <w:szCs w:val="28"/>
          <w:lang w:val="en-US"/>
        </w:rPr>
        <w:t>natoly N.</w:t>
      </w:r>
      <w:r w:rsidRPr="007A4AB6">
        <w:rPr>
          <w:rFonts w:cs="Times New Roman"/>
          <w:i/>
          <w:iCs/>
          <w:szCs w:val="28"/>
          <w:lang w:val="en-US"/>
        </w:rPr>
        <w:t xml:space="preserve"> </w:t>
      </w:r>
      <w:r>
        <w:rPr>
          <w:rFonts w:cs="Times New Roman"/>
          <w:i/>
          <w:iCs/>
          <w:szCs w:val="28"/>
          <w:lang w:val="en-US"/>
        </w:rPr>
        <w:t>Tokarev</w:t>
      </w:r>
      <w:r w:rsidRPr="007A4AB6">
        <w:rPr>
          <w:rFonts w:cs="Times New Roman"/>
          <w:i/>
          <w:iCs/>
          <w:szCs w:val="28"/>
          <w:lang w:val="en-US"/>
        </w:rPr>
        <w:t xml:space="preserve"> </w:t>
      </w:r>
      <w:r w:rsidRPr="007A4AB6">
        <w:rPr>
          <w:rFonts w:eastAsia="TimesNewRomanPSMT" w:cs="Times New Roman"/>
          <w:szCs w:val="28"/>
          <w:lang w:val="en-US"/>
        </w:rPr>
        <w:t xml:space="preserve">– Dr. Sci. (Economics), </w:t>
      </w:r>
      <w:r w:rsidRPr="00971123">
        <w:rPr>
          <w:rFonts w:cs="Times New Roman"/>
          <w:szCs w:val="28"/>
          <w:lang w:val="en-US"/>
        </w:rPr>
        <w:t>Head of</w:t>
      </w:r>
      <w:r>
        <w:rPr>
          <w:rFonts w:cs="Times New Roman"/>
          <w:szCs w:val="28"/>
          <w:lang w:val="en-US"/>
        </w:rPr>
        <w:t xml:space="preserve"> Centre for Resource Economics,</w:t>
      </w:r>
    </w:p>
    <w:p w14:paraId="0D5774EC" w14:textId="77777777" w:rsidR="00C73E62" w:rsidRPr="007A4AB6" w:rsidRDefault="00C73E62" w:rsidP="00C73E62">
      <w:pPr>
        <w:autoSpaceDE w:val="0"/>
        <w:autoSpaceDN w:val="0"/>
        <w:adjustRightInd w:val="0"/>
        <w:spacing w:after="0"/>
        <w:rPr>
          <w:rFonts w:eastAsia="TimesNewRomanPSMT" w:cs="Times New Roman"/>
          <w:szCs w:val="28"/>
          <w:lang w:val="en-US"/>
        </w:rPr>
      </w:pPr>
      <w:r w:rsidRPr="007A4AB6">
        <w:rPr>
          <w:rFonts w:eastAsia="TimesNewRomanPSMT" w:cs="Times New Roman"/>
          <w:szCs w:val="28"/>
          <w:lang w:val="en-US"/>
        </w:rPr>
        <w:t>Institute of Economics and Industrial Engineering of the Siberian</w:t>
      </w:r>
      <w:r>
        <w:rPr>
          <w:rFonts w:eastAsia="TimesNewRomanPSMT" w:cs="Times New Roman"/>
          <w:szCs w:val="28"/>
          <w:lang w:val="en-US"/>
        </w:rPr>
        <w:t xml:space="preserve"> </w:t>
      </w:r>
      <w:r w:rsidRPr="007A4AB6">
        <w:rPr>
          <w:rFonts w:eastAsia="TimesNewRomanPSMT" w:cs="Times New Roman"/>
          <w:szCs w:val="28"/>
          <w:lang w:val="en-US"/>
        </w:rPr>
        <w:t>Branch of the Russian Academy of Sciences</w:t>
      </w:r>
    </w:p>
    <w:p w14:paraId="6F2D3E20" w14:textId="77777777" w:rsidR="00C73E62" w:rsidRPr="007A4AB6" w:rsidRDefault="00C73E62" w:rsidP="00C73E62">
      <w:pPr>
        <w:rPr>
          <w:rFonts w:cs="Times New Roman"/>
          <w:szCs w:val="28"/>
          <w:lang w:val="en-US"/>
        </w:rPr>
      </w:pPr>
      <w:r w:rsidRPr="007A4AB6">
        <w:rPr>
          <w:rFonts w:eastAsia="TimesNewRomanPSMT" w:cs="Times New Roman"/>
          <w:szCs w:val="28"/>
          <w:lang w:val="en-US"/>
        </w:rPr>
        <w:t>17 A</w:t>
      </w:r>
      <w:r w:rsidRPr="007A4AB6">
        <w:rPr>
          <w:rFonts w:eastAsia="TimesNewRomanPSMT" w:cs="Times New Roman"/>
          <w:szCs w:val="28"/>
        </w:rPr>
        <w:t>с</w:t>
      </w:r>
      <w:r w:rsidRPr="007A4AB6">
        <w:rPr>
          <w:rFonts w:eastAsia="TimesNewRomanPSMT" w:cs="Times New Roman"/>
          <w:szCs w:val="28"/>
          <w:lang w:val="en-US"/>
        </w:rPr>
        <w:t>. Lavrentiev av., Novosibirsk, 630090, Russian Federation</w:t>
      </w:r>
    </w:p>
    <w:p w14:paraId="35B53AE6" w14:textId="77777777" w:rsidR="00C73E62" w:rsidRDefault="00C73E62" w:rsidP="00C73E62">
      <w:pPr>
        <w:rPr>
          <w:rFonts w:cs="Times New Roman"/>
          <w:szCs w:val="28"/>
          <w:lang w:val="en-US"/>
        </w:rPr>
      </w:pPr>
      <w:r w:rsidRPr="00971123">
        <w:rPr>
          <w:rFonts w:cs="Times New Roman"/>
          <w:szCs w:val="28"/>
          <w:lang w:val="en-US"/>
        </w:rPr>
        <w:t>E-mail:</w:t>
      </w:r>
      <w:r>
        <w:rPr>
          <w:rFonts w:cs="Times New Roman"/>
          <w:szCs w:val="28"/>
          <w:lang w:val="en-US"/>
        </w:rPr>
        <w:t xml:space="preserve"> </w:t>
      </w:r>
      <w:r w:rsidRPr="00BC6F40">
        <w:rPr>
          <w:rFonts w:cs="Times New Roman"/>
          <w:szCs w:val="28"/>
          <w:lang w:val="en-US"/>
        </w:rPr>
        <w:t>Anatoli-3@yandex.ru</w:t>
      </w:r>
    </w:p>
    <w:p w14:paraId="3F9F9DA8" w14:textId="77777777" w:rsidR="00C73E62" w:rsidRPr="00971123" w:rsidRDefault="00C73E62" w:rsidP="00C73E62">
      <w:pPr>
        <w:rPr>
          <w:rFonts w:cs="Times New Roman"/>
          <w:szCs w:val="28"/>
          <w:lang w:val="en-US"/>
        </w:rPr>
      </w:pPr>
      <w:r w:rsidRPr="00BC6F40">
        <w:rPr>
          <w:rFonts w:cs="Times New Roman"/>
          <w:i/>
          <w:szCs w:val="28"/>
          <w:lang w:val="en-US"/>
        </w:rPr>
        <w:t>Ekaterina A. Dubovitskay</w:t>
      </w:r>
      <w:r>
        <w:rPr>
          <w:rFonts w:cs="Times New Roman"/>
          <w:szCs w:val="28"/>
          <w:lang w:val="en-US"/>
        </w:rPr>
        <w:t xml:space="preserve"> </w:t>
      </w:r>
      <w:r w:rsidRPr="007A4AB6">
        <w:rPr>
          <w:rFonts w:eastAsia="TimesNewRomanPSMT" w:cs="Times New Roman"/>
          <w:szCs w:val="28"/>
          <w:lang w:val="en-US"/>
        </w:rPr>
        <w:t xml:space="preserve">– </w:t>
      </w:r>
      <w:r>
        <w:rPr>
          <w:rFonts w:eastAsia="TimesNewRomanPSMT" w:cs="Times New Roman"/>
          <w:szCs w:val="28"/>
          <w:lang w:val="en-US"/>
        </w:rPr>
        <w:t>Cand.</w:t>
      </w:r>
      <w:r w:rsidRPr="007A4AB6">
        <w:rPr>
          <w:rFonts w:eastAsia="TimesNewRomanPSMT" w:cs="Times New Roman"/>
          <w:szCs w:val="28"/>
          <w:lang w:val="en-US"/>
        </w:rPr>
        <w:t xml:space="preserve"> Sci. (Economics),</w:t>
      </w:r>
    </w:p>
    <w:p w14:paraId="69700095" w14:textId="77777777" w:rsidR="00C73E62" w:rsidRPr="00971123" w:rsidRDefault="00C73E62" w:rsidP="00C73E62">
      <w:pPr>
        <w:rPr>
          <w:rFonts w:cs="Times New Roman"/>
          <w:szCs w:val="28"/>
          <w:lang w:val="en-US"/>
        </w:rPr>
      </w:pPr>
      <w:r w:rsidRPr="00971123">
        <w:rPr>
          <w:rFonts w:cs="Times New Roman"/>
          <w:szCs w:val="28"/>
          <w:lang w:val="en-US"/>
        </w:rPr>
        <w:t>Head of Economic Valuation Department, Ingenix Group</w:t>
      </w:r>
    </w:p>
    <w:p w14:paraId="08D34A12" w14:textId="77777777" w:rsidR="00C73E62" w:rsidRPr="00971123" w:rsidRDefault="00C73E62" w:rsidP="00C73E62">
      <w:pPr>
        <w:rPr>
          <w:rFonts w:cs="Times New Roman"/>
          <w:szCs w:val="28"/>
          <w:lang w:val="en-US"/>
        </w:rPr>
      </w:pPr>
      <w:r w:rsidRPr="00971123">
        <w:rPr>
          <w:rFonts w:cs="Times New Roman"/>
          <w:szCs w:val="28"/>
          <w:lang w:val="en-US"/>
        </w:rPr>
        <w:t xml:space="preserve">15A Leninskiy </w:t>
      </w:r>
      <w:r>
        <w:rPr>
          <w:rFonts w:cs="Times New Roman"/>
          <w:szCs w:val="28"/>
          <w:lang w:val="en-US"/>
        </w:rPr>
        <w:t>av.</w:t>
      </w:r>
      <w:r w:rsidRPr="00971123">
        <w:rPr>
          <w:rFonts w:cs="Times New Roman"/>
          <w:szCs w:val="28"/>
          <w:lang w:val="en-US"/>
        </w:rPr>
        <w:t>, Moscow, 117071,</w:t>
      </w:r>
      <w:r>
        <w:rPr>
          <w:rFonts w:cs="Times New Roman"/>
          <w:szCs w:val="28"/>
          <w:lang w:val="en-US"/>
        </w:rPr>
        <w:t xml:space="preserve"> </w:t>
      </w:r>
      <w:r w:rsidRPr="007A4AB6">
        <w:rPr>
          <w:rFonts w:eastAsia="TimesNewRomanPSMT" w:cs="Times New Roman"/>
          <w:szCs w:val="28"/>
          <w:lang w:val="en-US"/>
        </w:rPr>
        <w:t>Russian Federation</w:t>
      </w:r>
    </w:p>
    <w:p w14:paraId="2CCD4445" w14:textId="77777777" w:rsidR="00C73E62" w:rsidRPr="007A4AB6" w:rsidRDefault="00C73E62" w:rsidP="00C73E62">
      <w:pPr>
        <w:rPr>
          <w:rFonts w:cs="Times New Roman"/>
          <w:szCs w:val="28"/>
          <w:lang w:val="en-US"/>
        </w:rPr>
      </w:pPr>
      <w:r w:rsidRPr="00971123">
        <w:rPr>
          <w:rFonts w:cs="Times New Roman"/>
          <w:szCs w:val="28"/>
          <w:lang w:val="en-US"/>
        </w:rPr>
        <w:t xml:space="preserve">E-mail: </w:t>
      </w:r>
      <w:r>
        <w:rPr>
          <w:rFonts w:cs="Times New Roman"/>
          <w:szCs w:val="28"/>
          <w:lang w:val="en-US"/>
        </w:rPr>
        <w:t>E</w:t>
      </w:r>
      <w:r w:rsidRPr="00971123">
        <w:rPr>
          <w:rFonts w:cs="Times New Roman"/>
          <w:szCs w:val="28"/>
          <w:lang w:val="en-US"/>
        </w:rPr>
        <w:t>.</w:t>
      </w:r>
      <w:r>
        <w:rPr>
          <w:rFonts w:cs="Times New Roman"/>
          <w:szCs w:val="28"/>
          <w:lang w:val="en-US"/>
        </w:rPr>
        <w:t>D</w:t>
      </w:r>
      <w:r w:rsidRPr="00971123">
        <w:rPr>
          <w:rFonts w:cs="Times New Roman"/>
          <w:szCs w:val="28"/>
          <w:lang w:val="en-US"/>
        </w:rPr>
        <w:t>ubovitskaya@ingenix-group.ru</w:t>
      </w:r>
    </w:p>
    <w:p w14:paraId="414943BE" w14:textId="77777777" w:rsidR="00BF3EE8" w:rsidRPr="00E47C0D" w:rsidRDefault="00BF3EE8" w:rsidP="001F08C5">
      <w:pPr>
        <w:pStyle w:val="a3"/>
        <w:rPr>
          <w:lang w:val="en-US"/>
        </w:rPr>
      </w:pPr>
    </w:p>
    <w:sectPr w:rsidR="00BF3EE8" w:rsidRPr="00E47C0D" w:rsidSect="00333E5C">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A8EC9" w14:textId="77777777" w:rsidR="00EA5B3A" w:rsidRDefault="00EA5B3A" w:rsidP="00AF3E3C">
      <w:pPr>
        <w:spacing w:after="0"/>
      </w:pPr>
      <w:r>
        <w:separator/>
      </w:r>
    </w:p>
  </w:endnote>
  <w:endnote w:type="continuationSeparator" w:id="0">
    <w:p w14:paraId="4E4F29BD" w14:textId="77777777" w:rsidR="00EA5B3A" w:rsidRDefault="00EA5B3A" w:rsidP="00AF3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924185"/>
      <w:docPartObj>
        <w:docPartGallery w:val="Page Numbers (Bottom of Page)"/>
        <w:docPartUnique/>
      </w:docPartObj>
    </w:sdtPr>
    <w:sdtEndPr/>
    <w:sdtContent>
      <w:p w14:paraId="4DDD358C" w14:textId="15408030" w:rsidR="00B021D7" w:rsidRDefault="00B021D7">
        <w:pPr>
          <w:pStyle w:val="af2"/>
          <w:jc w:val="right"/>
        </w:pPr>
        <w:r>
          <w:fldChar w:fldCharType="begin"/>
        </w:r>
        <w:r>
          <w:instrText>PAGE   \* MERGEFORMAT</w:instrText>
        </w:r>
        <w:r>
          <w:fldChar w:fldCharType="separate"/>
        </w:r>
        <w:r w:rsidR="00650AF8">
          <w:rPr>
            <w:noProof/>
          </w:rPr>
          <w:t>20</w:t>
        </w:r>
        <w:r>
          <w:fldChar w:fldCharType="end"/>
        </w:r>
      </w:p>
    </w:sdtContent>
  </w:sdt>
  <w:p w14:paraId="4D25BDD7" w14:textId="77777777" w:rsidR="00B021D7" w:rsidRDefault="00B021D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AA37A" w14:textId="77777777" w:rsidR="00EA5B3A" w:rsidRDefault="00EA5B3A" w:rsidP="00AF3E3C">
      <w:pPr>
        <w:spacing w:after="0"/>
      </w:pPr>
      <w:r>
        <w:separator/>
      </w:r>
    </w:p>
  </w:footnote>
  <w:footnote w:type="continuationSeparator" w:id="0">
    <w:p w14:paraId="29A2BCC6" w14:textId="77777777" w:rsidR="00EA5B3A" w:rsidRDefault="00EA5B3A" w:rsidP="00AF3E3C">
      <w:pPr>
        <w:spacing w:after="0"/>
      </w:pPr>
      <w:r>
        <w:continuationSeparator/>
      </w:r>
    </w:p>
  </w:footnote>
  <w:footnote w:id="1">
    <w:p w14:paraId="6CD63ED8" w14:textId="71BDF7AF" w:rsidR="00B021D7" w:rsidRPr="00BA666C" w:rsidRDefault="00B021D7">
      <w:pPr>
        <w:pStyle w:val="a5"/>
      </w:pPr>
      <w:r>
        <w:rPr>
          <w:rStyle w:val="a7"/>
        </w:rPr>
        <w:footnoteRef/>
      </w:r>
      <w:r>
        <w:t xml:space="preserve"> </w:t>
      </w:r>
      <w:r w:rsidRPr="00A842A9">
        <w:t xml:space="preserve">Концепция технологического развития на период до 2030 года. –  Распоряжение Правительства РФ от 20 мая 2023 года №1315-р. </w:t>
      </w:r>
      <w:r w:rsidRPr="00DB634E">
        <w:rPr>
          <w:lang w:val="en-US"/>
        </w:rPr>
        <w:t>URL</w:t>
      </w:r>
      <w:r w:rsidRPr="00BA666C">
        <w:t xml:space="preserve">: </w:t>
      </w:r>
      <w:r w:rsidRPr="00DB634E">
        <w:rPr>
          <w:lang w:val="en-US"/>
        </w:rPr>
        <w:t>http</w:t>
      </w:r>
      <w:r w:rsidRPr="00BA666C">
        <w:t>://</w:t>
      </w:r>
      <w:r w:rsidRPr="00DB634E">
        <w:rPr>
          <w:lang w:val="en-US"/>
        </w:rPr>
        <w:t>government</w:t>
      </w:r>
      <w:r w:rsidRPr="00BA666C">
        <w:t>.</w:t>
      </w:r>
      <w:r w:rsidRPr="00DB634E">
        <w:rPr>
          <w:lang w:val="en-US"/>
        </w:rPr>
        <w:t>ru</w:t>
      </w:r>
      <w:r w:rsidRPr="00BA666C">
        <w:t>/</w:t>
      </w:r>
      <w:r w:rsidRPr="00DB634E">
        <w:rPr>
          <w:lang w:val="en-US"/>
        </w:rPr>
        <w:t>news</w:t>
      </w:r>
      <w:r w:rsidRPr="00BA666C">
        <w:t>/48570 (</w:t>
      </w:r>
      <w:r w:rsidRPr="00A842A9">
        <w:t>дата</w:t>
      </w:r>
      <w:r w:rsidRPr="00BA666C">
        <w:t xml:space="preserve"> </w:t>
      </w:r>
      <w:r w:rsidRPr="00A842A9">
        <w:t>обращения</w:t>
      </w:r>
      <w:r w:rsidR="002B46C9">
        <w:t>:</w:t>
      </w:r>
      <w:r w:rsidRPr="00BA666C">
        <w:t xml:space="preserve"> 5.07.2023).</w:t>
      </w:r>
    </w:p>
  </w:footnote>
  <w:footnote w:id="2">
    <w:p w14:paraId="18B80D2B" w14:textId="6DBA70A6" w:rsidR="00B021D7" w:rsidRDefault="00B021D7">
      <w:pPr>
        <w:pStyle w:val="a5"/>
      </w:pPr>
      <w:r>
        <w:rPr>
          <w:rStyle w:val="a7"/>
        </w:rPr>
        <w:footnoteRef/>
      </w:r>
      <w:r>
        <w:t xml:space="preserve"> </w:t>
      </w:r>
      <w:r w:rsidRPr="00F610C8">
        <w:t xml:space="preserve">Новый импульс политики импортозамещения. </w:t>
      </w:r>
      <w:r>
        <w:t xml:space="preserve">– </w:t>
      </w:r>
      <w:r w:rsidRPr="004E5D1A">
        <w:t>Центральное диспетчерское управление</w:t>
      </w:r>
      <w:r w:rsidRPr="00F610C8">
        <w:t xml:space="preserve"> ТЭК. </w:t>
      </w:r>
      <w:r>
        <w:rPr>
          <w:lang w:val="en-US"/>
        </w:rPr>
        <w:t>URL</w:t>
      </w:r>
      <w:r w:rsidRPr="00F610C8">
        <w:t xml:space="preserve">: https://www.cdu.ru/tek_russia/issue/2024/3/1240 (дата обращения: </w:t>
      </w:r>
      <w:r>
        <w:t>23.05.</w:t>
      </w:r>
      <w:r w:rsidRPr="00F610C8">
        <w:t>2024).</w:t>
      </w:r>
    </w:p>
  </w:footnote>
  <w:footnote w:id="3">
    <w:p w14:paraId="3B798D98" w14:textId="13A544E7" w:rsidR="00B021D7" w:rsidRDefault="00B021D7">
      <w:pPr>
        <w:pStyle w:val="a5"/>
      </w:pPr>
      <w:r>
        <w:rPr>
          <w:rStyle w:val="a7"/>
        </w:rPr>
        <w:footnoteRef/>
      </w:r>
      <w:r>
        <w:t xml:space="preserve"> </w:t>
      </w:r>
      <w:r w:rsidRPr="00BA1827">
        <w:t>Конев И. Российский ТЭК консолидирует спрос на отечественное оборудование // Российская газета. 27.05.2024</w:t>
      </w:r>
      <w:r>
        <w:t>.</w:t>
      </w:r>
      <w:r w:rsidRPr="00BA1827">
        <w:t xml:space="preserve"> </w:t>
      </w:r>
      <w:r>
        <w:rPr>
          <w:lang w:val="en-US"/>
        </w:rPr>
        <w:t>URL</w:t>
      </w:r>
      <w:r w:rsidRPr="00AC23A8">
        <w:t xml:space="preserve">: </w:t>
      </w:r>
      <w:r w:rsidRPr="00BA1827">
        <w:t>https://rg.ru/2024/05/27/rossijskij-tek-konsolidiruet-spros-na-otechestvennoe-oborudovanie.html</w:t>
      </w:r>
      <w:r>
        <w:t xml:space="preserve"> (дата обращения: </w:t>
      </w:r>
      <w:r w:rsidRPr="00BA1827">
        <w:t>27.05.2024</w:t>
      </w:r>
      <w:r>
        <w:t>)</w:t>
      </w:r>
      <w:r w:rsidRPr="00BA1827">
        <w:t>.</w:t>
      </w:r>
    </w:p>
  </w:footnote>
  <w:footnote w:id="4">
    <w:p w14:paraId="761E737A" w14:textId="76BD9647" w:rsidR="00B021D7" w:rsidRDefault="00B021D7" w:rsidP="001043D9">
      <w:pPr>
        <w:pStyle w:val="a5"/>
      </w:pPr>
      <w:r>
        <w:rPr>
          <w:rStyle w:val="a7"/>
        </w:rPr>
        <w:footnoteRef/>
      </w:r>
      <w:r>
        <w:t xml:space="preserve"> </w:t>
      </w:r>
      <w:r w:rsidRPr="00F610C8">
        <w:t xml:space="preserve">Новый импульс политики импортозамещения. </w:t>
      </w:r>
      <w:r>
        <w:t xml:space="preserve">– </w:t>
      </w:r>
      <w:r w:rsidRPr="00F610C8">
        <w:t>Ц</w:t>
      </w:r>
      <w:r>
        <w:t>ентральное диспетчерское управление</w:t>
      </w:r>
      <w:r w:rsidRPr="00F610C8">
        <w:t xml:space="preserve"> ТЭК. </w:t>
      </w:r>
      <w:r>
        <w:rPr>
          <w:lang w:val="en-US"/>
        </w:rPr>
        <w:t>URL</w:t>
      </w:r>
      <w:r w:rsidRPr="00F610C8">
        <w:t xml:space="preserve">: https://www.cdu.ru/tek_russia/issue/2024/3/1240 (дата обращения: </w:t>
      </w:r>
      <w:r>
        <w:t>113.05.</w:t>
      </w:r>
      <w:r w:rsidRPr="00F610C8">
        <w:t>2024).</w:t>
      </w:r>
    </w:p>
  </w:footnote>
  <w:footnote w:id="5">
    <w:p w14:paraId="2F345E4C" w14:textId="16A5F77A" w:rsidR="00B021D7" w:rsidRPr="00DB634E" w:rsidRDefault="00B021D7">
      <w:pPr>
        <w:pStyle w:val="a5"/>
      </w:pPr>
      <w:r>
        <w:rPr>
          <w:rStyle w:val="a7"/>
        </w:rPr>
        <w:footnoteRef/>
      </w:r>
      <w:r>
        <w:t xml:space="preserve"> </w:t>
      </w:r>
      <w:r w:rsidRPr="00E205F9">
        <w:t xml:space="preserve">Постановление от 12 января 2017 года </w:t>
      </w:r>
      <w:r>
        <w:t>№</w:t>
      </w:r>
      <w:r w:rsidRPr="00E205F9">
        <w:t xml:space="preserve"> 1-ПГ </w:t>
      </w:r>
      <w:r>
        <w:t>«</w:t>
      </w:r>
      <w:r w:rsidRPr="00E205F9">
        <w:t>Об экспертном совете по природопользованию Ямало-Ненецкого автономного округа</w:t>
      </w:r>
      <w:r>
        <w:t>»</w:t>
      </w:r>
      <w:r w:rsidRPr="00E205F9">
        <w:t>.</w:t>
      </w:r>
      <w:r>
        <w:t xml:space="preserve"> </w:t>
      </w:r>
      <w:r>
        <w:rPr>
          <w:lang w:val="en-US"/>
        </w:rPr>
        <w:t>URL</w:t>
      </w:r>
      <w:r w:rsidRPr="00DB634E">
        <w:t xml:space="preserve">: </w:t>
      </w:r>
      <w:r w:rsidRPr="00991CD3">
        <w:t>https://docs.cntd.ru/document/444970862</w:t>
      </w:r>
      <w:r w:rsidRPr="00DB634E">
        <w:t xml:space="preserve"> </w:t>
      </w:r>
      <w:r w:rsidRPr="00314CA5">
        <w:t xml:space="preserve">(дата обращения: </w:t>
      </w:r>
      <w:r>
        <w:t>27</w:t>
      </w:r>
      <w:r w:rsidRPr="00314CA5">
        <w:t>.0</w:t>
      </w:r>
      <w:r>
        <w:t>7</w:t>
      </w:r>
      <w:r w:rsidRPr="00314CA5">
        <w:t>.2024)</w:t>
      </w:r>
      <w:r w:rsidRPr="00DB634E">
        <w:t>.</w:t>
      </w:r>
    </w:p>
  </w:footnote>
  <w:footnote w:id="6">
    <w:p w14:paraId="576C04B6" w14:textId="1F9FA003" w:rsidR="00B021D7" w:rsidRDefault="00B021D7">
      <w:pPr>
        <w:pStyle w:val="a5"/>
      </w:pPr>
      <w:r>
        <w:rPr>
          <w:rStyle w:val="a7"/>
        </w:rPr>
        <w:footnoteRef/>
      </w:r>
      <w:r>
        <w:t xml:space="preserve"> </w:t>
      </w:r>
      <w:r w:rsidRPr="00314CA5">
        <w:t xml:space="preserve">Новый импульс политики импортозамещения. – Центральное диспетчерское управление ТЭК. URL: https://www.cdu.ru/tek_russia/issue/2024/3/1240 (дата обращения: </w:t>
      </w:r>
      <w:r>
        <w:t>27</w:t>
      </w:r>
      <w:r w:rsidRPr="00314CA5">
        <w:t>.0</w:t>
      </w:r>
      <w:r>
        <w:t>7</w:t>
      </w:r>
      <w:r w:rsidRPr="00314CA5">
        <w:t>.2024).</w:t>
      </w:r>
    </w:p>
  </w:footnote>
  <w:footnote w:id="7">
    <w:p w14:paraId="543E4B11" w14:textId="6E00E5F4" w:rsidR="00B021D7" w:rsidRDefault="00B021D7" w:rsidP="006D6253">
      <w:pPr>
        <w:pStyle w:val="a5"/>
      </w:pPr>
      <w:r>
        <w:rPr>
          <w:rStyle w:val="a7"/>
        </w:rPr>
        <w:footnoteRef/>
      </w:r>
      <w:r>
        <w:t xml:space="preserve"> </w:t>
      </w:r>
      <w:r w:rsidRPr="008D519B">
        <w:t>ПДК и ГРП. Минпромторг РФ сообщил о продвижении в важных проектах технологического суверенитета в нефтегазовой отрасли</w:t>
      </w:r>
      <w:r>
        <w:t>.</w:t>
      </w:r>
      <w:r w:rsidRPr="008D519B">
        <w:t xml:space="preserve"> 17 апреля 2024</w:t>
      </w:r>
      <w:r>
        <w:t>.</w:t>
      </w:r>
      <w:r w:rsidRPr="008D519B">
        <w:t xml:space="preserve"> </w:t>
      </w:r>
      <w:r>
        <w:rPr>
          <w:lang w:val="en-US"/>
        </w:rPr>
        <w:t>URL</w:t>
      </w:r>
      <w:r w:rsidRPr="00F610C8">
        <w:t>:</w:t>
      </w:r>
      <w:r>
        <w:t xml:space="preserve"> </w:t>
      </w:r>
      <w:r w:rsidRPr="008D519B">
        <w:t>https://neftegaz.ru/news/Oborudovanie/829750-pdk-i-grp-minpromtorg-rf-soobshchil-o-prodvizhenii-v-vazhnykh-proektakh-tekhnologicheskogo-suverenit</w:t>
      </w:r>
      <w:r>
        <w:t xml:space="preserve"> (дата обращения: </w:t>
      </w:r>
      <w:r w:rsidRPr="00BA1827">
        <w:t>27.0</w:t>
      </w:r>
      <w:r>
        <w:t>9</w:t>
      </w:r>
      <w:r w:rsidRPr="00BA1827">
        <w:t>.2024</w:t>
      </w:r>
      <w:r>
        <w:t>)</w:t>
      </w:r>
      <w:r w:rsidRPr="00BA1827">
        <w:t>.</w:t>
      </w:r>
    </w:p>
  </w:footnote>
  <w:footnote w:id="8">
    <w:p w14:paraId="598167C5" w14:textId="478316DB" w:rsidR="00B021D7" w:rsidRDefault="00B021D7" w:rsidP="00AE7685">
      <w:pPr>
        <w:pStyle w:val="a5"/>
      </w:pPr>
      <w:r>
        <w:rPr>
          <w:rStyle w:val="a7"/>
        </w:rPr>
        <w:footnoteRef/>
      </w:r>
      <w:r>
        <w:t xml:space="preserve"> </w:t>
      </w:r>
      <w:r w:rsidRPr="00BA1827">
        <w:t>Конев И. Российский ТЭК консолидирует спрос на отечественное оборудование // Российская газета. 27.05.2024</w:t>
      </w:r>
      <w:r>
        <w:t xml:space="preserve">. </w:t>
      </w:r>
      <w:r>
        <w:rPr>
          <w:lang w:val="en-US"/>
        </w:rPr>
        <w:t>URL</w:t>
      </w:r>
      <w:r w:rsidRPr="00F610C8">
        <w:t>:</w:t>
      </w:r>
      <w:r w:rsidRPr="00BA1827">
        <w:t xml:space="preserve"> https://rg.ru/2024/05/27/rossijskij-tek-konsolidiruet-spros-na-otechestvennoe-oborudovanie.html</w:t>
      </w:r>
      <w:r>
        <w:t xml:space="preserve"> (дата обращения: </w:t>
      </w:r>
      <w:r w:rsidRPr="00BA1827">
        <w:t>27.05.2024</w:t>
      </w:r>
      <w:r>
        <w:t>)</w:t>
      </w:r>
      <w:r w:rsidRPr="00BA182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190F"/>
    <w:multiLevelType w:val="hybridMultilevel"/>
    <w:tmpl w:val="33B2AA5A"/>
    <w:lvl w:ilvl="0" w:tplc="B96E3E90">
      <w:start w:val="1"/>
      <w:numFmt w:val="bullet"/>
      <w:lvlText w:val="•"/>
      <w:lvlJc w:val="left"/>
      <w:pPr>
        <w:tabs>
          <w:tab w:val="num" w:pos="720"/>
        </w:tabs>
        <w:ind w:left="720" w:hanging="360"/>
      </w:pPr>
      <w:rPr>
        <w:rFonts w:ascii="Arial" w:hAnsi="Arial" w:hint="default"/>
      </w:rPr>
    </w:lvl>
    <w:lvl w:ilvl="1" w:tplc="8BEAFFC6" w:tentative="1">
      <w:start w:val="1"/>
      <w:numFmt w:val="bullet"/>
      <w:lvlText w:val="•"/>
      <w:lvlJc w:val="left"/>
      <w:pPr>
        <w:tabs>
          <w:tab w:val="num" w:pos="1440"/>
        </w:tabs>
        <w:ind w:left="1440" w:hanging="360"/>
      </w:pPr>
      <w:rPr>
        <w:rFonts w:ascii="Arial" w:hAnsi="Arial" w:hint="default"/>
      </w:rPr>
    </w:lvl>
    <w:lvl w:ilvl="2" w:tplc="15AA5D5A" w:tentative="1">
      <w:start w:val="1"/>
      <w:numFmt w:val="bullet"/>
      <w:lvlText w:val="•"/>
      <w:lvlJc w:val="left"/>
      <w:pPr>
        <w:tabs>
          <w:tab w:val="num" w:pos="2160"/>
        </w:tabs>
        <w:ind w:left="2160" w:hanging="360"/>
      </w:pPr>
      <w:rPr>
        <w:rFonts w:ascii="Arial" w:hAnsi="Arial" w:hint="default"/>
      </w:rPr>
    </w:lvl>
    <w:lvl w:ilvl="3" w:tplc="A0AEAFA0" w:tentative="1">
      <w:start w:val="1"/>
      <w:numFmt w:val="bullet"/>
      <w:lvlText w:val="•"/>
      <w:lvlJc w:val="left"/>
      <w:pPr>
        <w:tabs>
          <w:tab w:val="num" w:pos="2880"/>
        </w:tabs>
        <w:ind w:left="2880" w:hanging="360"/>
      </w:pPr>
      <w:rPr>
        <w:rFonts w:ascii="Arial" w:hAnsi="Arial" w:hint="default"/>
      </w:rPr>
    </w:lvl>
    <w:lvl w:ilvl="4" w:tplc="21C25AF0" w:tentative="1">
      <w:start w:val="1"/>
      <w:numFmt w:val="bullet"/>
      <w:lvlText w:val="•"/>
      <w:lvlJc w:val="left"/>
      <w:pPr>
        <w:tabs>
          <w:tab w:val="num" w:pos="3600"/>
        </w:tabs>
        <w:ind w:left="3600" w:hanging="360"/>
      </w:pPr>
      <w:rPr>
        <w:rFonts w:ascii="Arial" w:hAnsi="Arial" w:hint="default"/>
      </w:rPr>
    </w:lvl>
    <w:lvl w:ilvl="5" w:tplc="293E91F6" w:tentative="1">
      <w:start w:val="1"/>
      <w:numFmt w:val="bullet"/>
      <w:lvlText w:val="•"/>
      <w:lvlJc w:val="left"/>
      <w:pPr>
        <w:tabs>
          <w:tab w:val="num" w:pos="4320"/>
        </w:tabs>
        <w:ind w:left="4320" w:hanging="360"/>
      </w:pPr>
      <w:rPr>
        <w:rFonts w:ascii="Arial" w:hAnsi="Arial" w:hint="default"/>
      </w:rPr>
    </w:lvl>
    <w:lvl w:ilvl="6" w:tplc="3126CC46" w:tentative="1">
      <w:start w:val="1"/>
      <w:numFmt w:val="bullet"/>
      <w:lvlText w:val="•"/>
      <w:lvlJc w:val="left"/>
      <w:pPr>
        <w:tabs>
          <w:tab w:val="num" w:pos="5040"/>
        </w:tabs>
        <w:ind w:left="5040" w:hanging="360"/>
      </w:pPr>
      <w:rPr>
        <w:rFonts w:ascii="Arial" w:hAnsi="Arial" w:hint="default"/>
      </w:rPr>
    </w:lvl>
    <w:lvl w:ilvl="7" w:tplc="17020840" w:tentative="1">
      <w:start w:val="1"/>
      <w:numFmt w:val="bullet"/>
      <w:lvlText w:val="•"/>
      <w:lvlJc w:val="left"/>
      <w:pPr>
        <w:tabs>
          <w:tab w:val="num" w:pos="5760"/>
        </w:tabs>
        <w:ind w:left="5760" w:hanging="360"/>
      </w:pPr>
      <w:rPr>
        <w:rFonts w:ascii="Arial" w:hAnsi="Arial" w:hint="default"/>
      </w:rPr>
    </w:lvl>
    <w:lvl w:ilvl="8" w:tplc="C10A1B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9807DF"/>
    <w:multiLevelType w:val="hybridMultilevel"/>
    <w:tmpl w:val="368E5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6326EF"/>
    <w:multiLevelType w:val="hybridMultilevel"/>
    <w:tmpl w:val="23C469E8"/>
    <w:lvl w:ilvl="0" w:tplc="EB0CBA3C">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6061C17"/>
    <w:multiLevelType w:val="hybridMultilevel"/>
    <w:tmpl w:val="CC6260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7430880"/>
    <w:multiLevelType w:val="hybridMultilevel"/>
    <w:tmpl w:val="6ADA94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0930E1"/>
    <w:multiLevelType w:val="hybridMultilevel"/>
    <w:tmpl w:val="991E7EE4"/>
    <w:lvl w:ilvl="0" w:tplc="06DC9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864492"/>
    <w:multiLevelType w:val="hybridMultilevel"/>
    <w:tmpl w:val="8F1CB3DE"/>
    <w:lvl w:ilvl="0" w:tplc="C9EE6824">
      <w:start w:val="1"/>
      <w:numFmt w:val="bullet"/>
      <w:lvlText w:val="•"/>
      <w:lvlJc w:val="left"/>
      <w:pPr>
        <w:tabs>
          <w:tab w:val="num" w:pos="720"/>
        </w:tabs>
        <w:ind w:left="720" w:hanging="360"/>
      </w:pPr>
      <w:rPr>
        <w:rFonts w:ascii="Arial" w:hAnsi="Arial" w:hint="default"/>
      </w:rPr>
    </w:lvl>
    <w:lvl w:ilvl="1" w:tplc="C92E8234" w:tentative="1">
      <w:start w:val="1"/>
      <w:numFmt w:val="bullet"/>
      <w:lvlText w:val="•"/>
      <w:lvlJc w:val="left"/>
      <w:pPr>
        <w:tabs>
          <w:tab w:val="num" w:pos="1440"/>
        </w:tabs>
        <w:ind w:left="1440" w:hanging="360"/>
      </w:pPr>
      <w:rPr>
        <w:rFonts w:ascii="Arial" w:hAnsi="Arial" w:hint="default"/>
      </w:rPr>
    </w:lvl>
    <w:lvl w:ilvl="2" w:tplc="6F20B500" w:tentative="1">
      <w:start w:val="1"/>
      <w:numFmt w:val="bullet"/>
      <w:lvlText w:val="•"/>
      <w:lvlJc w:val="left"/>
      <w:pPr>
        <w:tabs>
          <w:tab w:val="num" w:pos="2160"/>
        </w:tabs>
        <w:ind w:left="2160" w:hanging="360"/>
      </w:pPr>
      <w:rPr>
        <w:rFonts w:ascii="Arial" w:hAnsi="Arial" w:hint="default"/>
      </w:rPr>
    </w:lvl>
    <w:lvl w:ilvl="3" w:tplc="6A944B80" w:tentative="1">
      <w:start w:val="1"/>
      <w:numFmt w:val="bullet"/>
      <w:lvlText w:val="•"/>
      <w:lvlJc w:val="left"/>
      <w:pPr>
        <w:tabs>
          <w:tab w:val="num" w:pos="2880"/>
        </w:tabs>
        <w:ind w:left="2880" w:hanging="360"/>
      </w:pPr>
      <w:rPr>
        <w:rFonts w:ascii="Arial" w:hAnsi="Arial" w:hint="default"/>
      </w:rPr>
    </w:lvl>
    <w:lvl w:ilvl="4" w:tplc="DE447212" w:tentative="1">
      <w:start w:val="1"/>
      <w:numFmt w:val="bullet"/>
      <w:lvlText w:val="•"/>
      <w:lvlJc w:val="left"/>
      <w:pPr>
        <w:tabs>
          <w:tab w:val="num" w:pos="3600"/>
        </w:tabs>
        <w:ind w:left="3600" w:hanging="360"/>
      </w:pPr>
      <w:rPr>
        <w:rFonts w:ascii="Arial" w:hAnsi="Arial" w:hint="default"/>
      </w:rPr>
    </w:lvl>
    <w:lvl w:ilvl="5" w:tplc="9C5CECFE" w:tentative="1">
      <w:start w:val="1"/>
      <w:numFmt w:val="bullet"/>
      <w:lvlText w:val="•"/>
      <w:lvlJc w:val="left"/>
      <w:pPr>
        <w:tabs>
          <w:tab w:val="num" w:pos="4320"/>
        </w:tabs>
        <w:ind w:left="4320" w:hanging="360"/>
      </w:pPr>
      <w:rPr>
        <w:rFonts w:ascii="Arial" w:hAnsi="Arial" w:hint="default"/>
      </w:rPr>
    </w:lvl>
    <w:lvl w:ilvl="6" w:tplc="6DA49AFE" w:tentative="1">
      <w:start w:val="1"/>
      <w:numFmt w:val="bullet"/>
      <w:lvlText w:val="•"/>
      <w:lvlJc w:val="left"/>
      <w:pPr>
        <w:tabs>
          <w:tab w:val="num" w:pos="5040"/>
        </w:tabs>
        <w:ind w:left="5040" w:hanging="360"/>
      </w:pPr>
      <w:rPr>
        <w:rFonts w:ascii="Arial" w:hAnsi="Arial" w:hint="default"/>
      </w:rPr>
    </w:lvl>
    <w:lvl w:ilvl="7" w:tplc="7FC40786" w:tentative="1">
      <w:start w:val="1"/>
      <w:numFmt w:val="bullet"/>
      <w:lvlText w:val="•"/>
      <w:lvlJc w:val="left"/>
      <w:pPr>
        <w:tabs>
          <w:tab w:val="num" w:pos="5760"/>
        </w:tabs>
        <w:ind w:left="5760" w:hanging="360"/>
      </w:pPr>
      <w:rPr>
        <w:rFonts w:ascii="Arial" w:hAnsi="Arial" w:hint="default"/>
      </w:rPr>
    </w:lvl>
    <w:lvl w:ilvl="8" w:tplc="ED9AC1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9B5B80"/>
    <w:multiLevelType w:val="hybridMultilevel"/>
    <w:tmpl w:val="23A844A2"/>
    <w:lvl w:ilvl="0" w:tplc="1A0C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FF4DBE"/>
    <w:multiLevelType w:val="hybridMultilevel"/>
    <w:tmpl w:val="44D65D24"/>
    <w:lvl w:ilvl="0" w:tplc="418E51A2">
      <w:start w:val="1"/>
      <w:numFmt w:val="decimal"/>
      <w:lvlText w:val="%1."/>
      <w:lvlJc w:val="left"/>
      <w:pPr>
        <w:ind w:left="1206" w:hanging="49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B53D09"/>
    <w:multiLevelType w:val="hybridMultilevel"/>
    <w:tmpl w:val="9BBC0A6E"/>
    <w:lvl w:ilvl="0" w:tplc="3F8675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BA47D1"/>
    <w:multiLevelType w:val="hybridMultilevel"/>
    <w:tmpl w:val="A192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812D6B"/>
    <w:multiLevelType w:val="hybridMultilevel"/>
    <w:tmpl w:val="EDC440B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A9969D0"/>
    <w:multiLevelType w:val="hybridMultilevel"/>
    <w:tmpl w:val="32B495BE"/>
    <w:lvl w:ilvl="0" w:tplc="1A0C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723BC7"/>
    <w:multiLevelType w:val="hybridMultilevel"/>
    <w:tmpl w:val="2F2CFE4C"/>
    <w:lvl w:ilvl="0" w:tplc="FFFFFFFF">
      <w:numFmt w:val="bullet"/>
      <w:lvlText w:val="–"/>
      <w:lvlJc w:val="left"/>
      <w:pPr>
        <w:ind w:left="360" w:hanging="360"/>
      </w:pPr>
      <w:rPr>
        <w:rFonts w:ascii="Times New Roman" w:eastAsia="Times New Roman" w:hAnsi="Times New Roman" w:cs="Times New Roman" w:hint="default"/>
      </w:rPr>
    </w:lvl>
    <w:lvl w:ilvl="1" w:tplc="9440EA72">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E6D4FA8"/>
    <w:multiLevelType w:val="hybridMultilevel"/>
    <w:tmpl w:val="6F4064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1A3030D"/>
    <w:multiLevelType w:val="hybridMultilevel"/>
    <w:tmpl w:val="65063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603263"/>
    <w:multiLevelType w:val="hybridMultilevel"/>
    <w:tmpl w:val="5FD6075E"/>
    <w:lvl w:ilvl="0" w:tplc="1A0C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B11FC"/>
    <w:multiLevelType w:val="hybridMultilevel"/>
    <w:tmpl w:val="5C4E8C6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3A5E5FE5"/>
    <w:multiLevelType w:val="hybridMultilevel"/>
    <w:tmpl w:val="44C241AA"/>
    <w:lvl w:ilvl="0" w:tplc="1A0C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B01BA7"/>
    <w:multiLevelType w:val="hybridMultilevel"/>
    <w:tmpl w:val="F43C6B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FCC348B"/>
    <w:multiLevelType w:val="hybridMultilevel"/>
    <w:tmpl w:val="36864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4626A8"/>
    <w:multiLevelType w:val="hybridMultilevel"/>
    <w:tmpl w:val="85D26F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2D1199C"/>
    <w:multiLevelType w:val="hybridMultilevel"/>
    <w:tmpl w:val="61E4D2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79A34DB"/>
    <w:multiLevelType w:val="hybridMultilevel"/>
    <w:tmpl w:val="FB62A762"/>
    <w:lvl w:ilvl="0" w:tplc="F85C6B72">
      <w:start w:val="1"/>
      <w:numFmt w:val="bullet"/>
      <w:lvlText w:val="•"/>
      <w:lvlJc w:val="left"/>
      <w:pPr>
        <w:tabs>
          <w:tab w:val="num" w:pos="720"/>
        </w:tabs>
        <w:ind w:left="720" w:hanging="360"/>
      </w:pPr>
      <w:rPr>
        <w:rFonts w:ascii="Arial" w:hAnsi="Arial" w:hint="default"/>
      </w:rPr>
    </w:lvl>
    <w:lvl w:ilvl="1" w:tplc="61AEC7F6" w:tentative="1">
      <w:start w:val="1"/>
      <w:numFmt w:val="bullet"/>
      <w:lvlText w:val="•"/>
      <w:lvlJc w:val="left"/>
      <w:pPr>
        <w:tabs>
          <w:tab w:val="num" w:pos="1440"/>
        </w:tabs>
        <w:ind w:left="1440" w:hanging="360"/>
      </w:pPr>
      <w:rPr>
        <w:rFonts w:ascii="Arial" w:hAnsi="Arial" w:hint="default"/>
      </w:rPr>
    </w:lvl>
    <w:lvl w:ilvl="2" w:tplc="A23681E0" w:tentative="1">
      <w:start w:val="1"/>
      <w:numFmt w:val="bullet"/>
      <w:lvlText w:val="•"/>
      <w:lvlJc w:val="left"/>
      <w:pPr>
        <w:tabs>
          <w:tab w:val="num" w:pos="2160"/>
        </w:tabs>
        <w:ind w:left="2160" w:hanging="360"/>
      </w:pPr>
      <w:rPr>
        <w:rFonts w:ascii="Arial" w:hAnsi="Arial" w:hint="default"/>
      </w:rPr>
    </w:lvl>
    <w:lvl w:ilvl="3" w:tplc="02C82C4C" w:tentative="1">
      <w:start w:val="1"/>
      <w:numFmt w:val="bullet"/>
      <w:lvlText w:val="•"/>
      <w:lvlJc w:val="left"/>
      <w:pPr>
        <w:tabs>
          <w:tab w:val="num" w:pos="2880"/>
        </w:tabs>
        <w:ind w:left="2880" w:hanging="360"/>
      </w:pPr>
      <w:rPr>
        <w:rFonts w:ascii="Arial" w:hAnsi="Arial" w:hint="default"/>
      </w:rPr>
    </w:lvl>
    <w:lvl w:ilvl="4" w:tplc="EA66FC24" w:tentative="1">
      <w:start w:val="1"/>
      <w:numFmt w:val="bullet"/>
      <w:lvlText w:val="•"/>
      <w:lvlJc w:val="left"/>
      <w:pPr>
        <w:tabs>
          <w:tab w:val="num" w:pos="3600"/>
        </w:tabs>
        <w:ind w:left="3600" w:hanging="360"/>
      </w:pPr>
      <w:rPr>
        <w:rFonts w:ascii="Arial" w:hAnsi="Arial" w:hint="default"/>
      </w:rPr>
    </w:lvl>
    <w:lvl w:ilvl="5" w:tplc="8EE43812" w:tentative="1">
      <w:start w:val="1"/>
      <w:numFmt w:val="bullet"/>
      <w:lvlText w:val="•"/>
      <w:lvlJc w:val="left"/>
      <w:pPr>
        <w:tabs>
          <w:tab w:val="num" w:pos="4320"/>
        </w:tabs>
        <w:ind w:left="4320" w:hanging="360"/>
      </w:pPr>
      <w:rPr>
        <w:rFonts w:ascii="Arial" w:hAnsi="Arial" w:hint="default"/>
      </w:rPr>
    </w:lvl>
    <w:lvl w:ilvl="6" w:tplc="91F29516" w:tentative="1">
      <w:start w:val="1"/>
      <w:numFmt w:val="bullet"/>
      <w:lvlText w:val="•"/>
      <w:lvlJc w:val="left"/>
      <w:pPr>
        <w:tabs>
          <w:tab w:val="num" w:pos="5040"/>
        </w:tabs>
        <w:ind w:left="5040" w:hanging="360"/>
      </w:pPr>
      <w:rPr>
        <w:rFonts w:ascii="Arial" w:hAnsi="Arial" w:hint="default"/>
      </w:rPr>
    </w:lvl>
    <w:lvl w:ilvl="7" w:tplc="0902EFE2" w:tentative="1">
      <w:start w:val="1"/>
      <w:numFmt w:val="bullet"/>
      <w:lvlText w:val="•"/>
      <w:lvlJc w:val="left"/>
      <w:pPr>
        <w:tabs>
          <w:tab w:val="num" w:pos="5760"/>
        </w:tabs>
        <w:ind w:left="5760" w:hanging="360"/>
      </w:pPr>
      <w:rPr>
        <w:rFonts w:ascii="Arial" w:hAnsi="Arial" w:hint="default"/>
      </w:rPr>
    </w:lvl>
    <w:lvl w:ilvl="8" w:tplc="589479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07674E"/>
    <w:multiLevelType w:val="hybridMultilevel"/>
    <w:tmpl w:val="F65231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10D37C0"/>
    <w:multiLevelType w:val="hybridMultilevel"/>
    <w:tmpl w:val="DEBE9D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32F7D8A"/>
    <w:multiLevelType w:val="hybridMultilevel"/>
    <w:tmpl w:val="15A48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5E5092"/>
    <w:multiLevelType w:val="hybridMultilevel"/>
    <w:tmpl w:val="7E1670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48B1D81"/>
    <w:multiLevelType w:val="hybridMultilevel"/>
    <w:tmpl w:val="09C056A4"/>
    <w:lvl w:ilvl="0" w:tplc="2472AF48">
      <w:start w:val="1"/>
      <w:numFmt w:val="bullet"/>
      <w:lvlText w:val="•"/>
      <w:lvlJc w:val="left"/>
      <w:pPr>
        <w:tabs>
          <w:tab w:val="num" w:pos="720"/>
        </w:tabs>
        <w:ind w:left="720" w:hanging="360"/>
      </w:pPr>
      <w:rPr>
        <w:rFonts w:ascii="Arial" w:hAnsi="Arial" w:hint="default"/>
      </w:rPr>
    </w:lvl>
    <w:lvl w:ilvl="1" w:tplc="C93CB482" w:tentative="1">
      <w:start w:val="1"/>
      <w:numFmt w:val="bullet"/>
      <w:lvlText w:val="•"/>
      <w:lvlJc w:val="left"/>
      <w:pPr>
        <w:tabs>
          <w:tab w:val="num" w:pos="1440"/>
        </w:tabs>
        <w:ind w:left="1440" w:hanging="360"/>
      </w:pPr>
      <w:rPr>
        <w:rFonts w:ascii="Arial" w:hAnsi="Arial" w:hint="default"/>
      </w:rPr>
    </w:lvl>
    <w:lvl w:ilvl="2" w:tplc="963E6940" w:tentative="1">
      <w:start w:val="1"/>
      <w:numFmt w:val="bullet"/>
      <w:lvlText w:val="•"/>
      <w:lvlJc w:val="left"/>
      <w:pPr>
        <w:tabs>
          <w:tab w:val="num" w:pos="2160"/>
        </w:tabs>
        <w:ind w:left="2160" w:hanging="360"/>
      </w:pPr>
      <w:rPr>
        <w:rFonts w:ascii="Arial" w:hAnsi="Arial" w:hint="default"/>
      </w:rPr>
    </w:lvl>
    <w:lvl w:ilvl="3" w:tplc="4418AA52" w:tentative="1">
      <w:start w:val="1"/>
      <w:numFmt w:val="bullet"/>
      <w:lvlText w:val="•"/>
      <w:lvlJc w:val="left"/>
      <w:pPr>
        <w:tabs>
          <w:tab w:val="num" w:pos="2880"/>
        </w:tabs>
        <w:ind w:left="2880" w:hanging="360"/>
      </w:pPr>
      <w:rPr>
        <w:rFonts w:ascii="Arial" w:hAnsi="Arial" w:hint="default"/>
      </w:rPr>
    </w:lvl>
    <w:lvl w:ilvl="4" w:tplc="85CC7F14" w:tentative="1">
      <w:start w:val="1"/>
      <w:numFmt w:val="bullet"/>
      <w:lvlText w:val="•"/>
      <w:lvlJc w:val="left"/>
      <w:pPr>
        <w:tabs>
          <w:tab w:val="num" w:pos="3600"/>
        </w:tabs>
        <w:ind w:left="3600" w:hanging="360"/>
      </w:pPr>
      <w:rPr>
        <w:rFonts w:ascii="Arial" w:hAnsi="Arial" w:hint="default"/>
      </w:rPr>
    </w:lvl>
    <w:lvl w:ilvl="5" w:tplc="A2C6209C" w:tentative="1">
      <w:start w:val="1"/>
      <w:numFmt w:val="bullet"/>
      <w:lvlText w:val="•"/>
      <w:lvlJc w:val="left"/>
      <w:pPr>
        <w:tabs>
          <w:tab w:val="num" w:pos="4320"/>
        </w:tabs>
        <w:ind w:left="4320" w:hanging="360"/>
      </w:pPr>
      <w:rPr>
        <w:rFonts w:ascii="Arial" w:hAnsi="Arial" w:hint="default"/>
      </w:rPr>
    </w:lvl>
    <w:lvl w:ilvl="6" w:tplc="6E1240DA" w:tentative="1">
      <w:start w:val="1"/>
      <w:numFmt w:val="bullet"/>
      <w:lvlText w:val="•"/>
      <w:lvlJc w:val="left"/>
      <w:pPr>
        <w:tabs>
          <w:tab w:val="num" w:pos="5040"/>
        </w:tabs>
        <w:ind w:left="5040" w:hanging="360"/>
      </w:pPr>
      <w:rPr>
        <w:rFonts w:ascii="Arial" w:hAnsi="Arial" w:hint="default"/>
      </w:rPr>
    </w:lvl>
    <w:lvl w:ilvl="7" w:tplc="38FA3C00" w:tentative="1">
      <w:start w:val="1"/>
      <w:numFmt w:val="bullet"/>
      <w:lvlText w:val="•"/>
      <w:lvlJc w:val="left"/>
      <w:pPr>
        <w:tabs>
          <w:tab w:val="num" w:pos="5760"/>
        </w:tabs>
        <w:ind w:left="5760" w:hanging="360"/>
      </w:pPr>
      <w:rPr>
        <w:rFonts w:ascii="Arial" w:hAnsi="Arial" w:hint="default"/>
      </w:rPr>
    </w:lvl>
    <w:lvl w:ilvl="8" w:tplc="58F086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CA67B1"/>
    <w:multiLevelType w:val="hybridMultilevel"/>
    <w:tmpl w:val="E17CF8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6856F23"/>
    <w:multiLevelType w:val="hybridMultilevel"/>
    <w:tmpl w:val="D9228D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8297518"/>
    <w:multiLevelType w:val="hybridMultilevel"/>
    <w:tmpl w:val="9E92E4F2"/>
    <w:lvl w:ilvl="0" w:tplc="1A0C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B71F20"/>
    <w:multiLevelType w:val="hybridMultilevel"/>
    <w:tmpl w:val="76C28AC6"/>
    <w:lvl w:ilvl="0" w:tplc="EB0CBA3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A232E6F"/>
    <w:multiLevelType w:val="hybridMultilevel"/>
    <w:tmpl w:val="1076E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C14315B"/>
    <w:multiLevelType w:val="hybridMultilevel"/>
    <w:tmpl w:val="65F6E5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5E676CF8"/>
    <w:multiLevelType w:val="hybridMultilevel"/>
    <w:tmpl w:val="86DC0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8154FA"/>
    <w:multiLevelType w:val="hybridMultilevel"/>
    <w:tmpl w:val="ED928EB6"/>
    <w:lvl w:ilvl="0" w:tplc="9440EA7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2FF1309"/>
    <w:multiLevelType w:val="hybridMultilevel"/>
    <w:tmpl w:val="0178D0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6B86AEA"/>
    <w:multiLevelType w:val="hybridMultilevel"/>
    <w:tmpl w:val="9D543C6E"/>
    <w:lvl w:ilvl="0" w:tplc="CE0C35AE">
      <w:start w:val="1"/>
      <w:numFmt w:val="bullet"/>
      <w:lvlText w:val="•"/>
      <w:lvlJc w:val="left"/>
      <w:pPr>
        <w:tabs>
          <w:tab w:val="num" w:pos="720"/>
        </w:tabs>
        <w:ind w:left="720" w:hanging="360"/>
      </w:pPr>
      <w:rPr>
        <w:rFonts w:ascii="Arial" w:hAnsi="Arial" w:hint="default"/>
      </w:rPr>
    </w:lvl>
    <w:lvl w:ilvl="1" w:tplc="CF6883C8" w:tentative="1">
      <w:start w:val="1"/>
      <w:numFmt w:val="bullet"/>
      <w:lvlText w:val="•"/>
      <w:lvlJc w:val="left"/>
      <w:pPr>
        <w:tabs>
          <w:tab w:val="num" w:pos="1440"/>
        </w:tabs>
        <w:ind w:left="1440" w:hanging="360"/>
      </w:pPr>
      <w:rPr>
        <w:rFonts w:ascii="Arial" w:hAnsi="Arial" w:hint="default"/>
      </w:rPr>
    </w:lvl>
    <w:lvl w:ilvl="2" w:tplc="02CC9BC8" w:tentative="1">
      <w:start w:val="1"/>
      <w:numFmt w:val="bullet"/>
      <w:lvlText w:val="•"/>
      <w:lvlJc w:val="left"/>
      <w:pPr>
        <w:tabs>
          <w:tab w:val="num" w:pos="2160"/>
        </w:tabs>
        <w:ind w:left="2160" w:hanging="360"/>
      </w:pPr>
      <w:rPr>
        <w:rFonts w:ascii="Arial" w:hAnsi="Arial" w:hint="default"/>
      </w:rPr>
    </w:lvl>
    <w:lvl w:ilvl="3" w:tplc="EDD82CD2" w:tentative="1">
      <w:start w:val="1"/>
      <w:numFmt w:val="bullet"/>
      <w:lvlText w:val="•"/>
      <w:lvlJc w:val="left"/>
      <w:pPr>
        <w:tabs>
          <w:tab w:val="num" w:pos="2880"/>
        </w:tabs>
        <w:ind w:left="2880" w:hanging="360"/>
      </w:pPr>
      <w:rPr>
        <w:rFonts w:ascii="Arial" w:hAnsi="Arial" w:hint="default"/>
      </w:rPr>
    </w:lvl>
    <w:lvl w:ilvl="4" w:tplc="C292FF00" w:tentative="1">
      <w:start w:val="1"/>
      <w:numFmt w:val="bullet"/>
      <w:lvlText w:val="•"/>
      <w:lvlJc w:val="left"/>
      <w:pPr>
        <w:tabs>
          <w:tab w:val="num" w:pos="3600"/>
        </w:tabs>
        <w:ind w:left="3600" w:hanging="360"/>
      </w:pPr>
      <w:rPr>
        <w:rFonts w:ascii="Arial" w:hAnsi="Arial" w:hint="default"/>
      </w:rPr>
    </w:lvl>
    <w:lvl w:ilvl="5" w:tplc="5A70F476" w:tentative="1">
      <w:start w:val="1"/>
      <w:numFmt w:val="bullet"/>
      <w:lvlText w:val="•"/>
      <w:lvlJc w:val="left"/>
      <w:pPr>
        <w:tabs>
          <w:tab w:val="num" w:pos="4320"/>
        </w:tabs>
        <w:ind w:left="4320" w:hanging="360"/>
      </w:pPr>
      <w:rPr>
        <w:rFonts w:ascii="Arial" w:hAnsi="Arial" w:hint="default"/>
      </w:rPr>
    </w:lvl>
    <w:lvl w:ilvl="6" w:tplc="FB242802" w:tentative="1">
      <w:start w:val="1"/>
      <w:numFmt w:val="bullet"/>
      <w:lvlText w:val="•"/>
      <w:lvlJc w:val="left"/>
      <w:pPr>
        <w:tabs>
          <w:tab w:val="num" w:pos="5040"/>
        </w:tabs>
        <w:ind w:left="5040" w:hanging="360"/>
      </w:pPr>
      <w:rPr>
        <w:rFonts w:ascii="Arial" w:hAnsi="Arial" w:hint="default"/>
      </w:rPr>
    </w:lvl>
    <w:lvl w:ilvl="7" w:tplc="18C22E4C" w:tentative="1">
      <w:start w:val="1"/>
      <w:numFmt w:val="bullet"/>
      <w:lvlText w:val="•"/>
      <w:lvlJc w:val="left"/>
      <w:pPr>
        <w:tabs>
          <w:tab w:val="num" w:pos="5760"/>
        </w:tabs>
        <w:ind w:left="5760" w:hanging="360"/>
      </w:pPr>
      <w:rPr>
        <w:rFonts w:ascii="Arial" w:hAnsi="Arial" w:hint="default"/>
      </w:rPr>
    </w:lvl>
    <w:lvl w:ilvl="8" w:tplc="A6C2D08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1529DD"/>
    <w:multiLevelType w:val="hybridMultilevel"/>
    <w:tmpl w:val="82662A0C"/>
    <w:lvl w:ilvl="0" w:tplc="5CCA2F14">
      <w:start w:val="1"/>
      <w:numFmt w:val="decimal"/>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15:restartNumberingAfterBreak="0">
    <w:nsid w:val="6A4940FF"/>
    <w:multiLevelType w:val="hybridMultilevel"/>
    <w:tmpl w:val="5A0E33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B433439"/>
    <w:multiLevelType w:val="hybridMultilevel"/>
    <w:tmpl w:val="7940F33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DB17B51"/>
    <w:multiLevelType w:val="hybridMultilevel"/>
    <w:tmpl w:val="28E2B5AA"/>
    <w:lvl w:ilvl="0" w:tplc="CFC2C52A">
      <w:start w:val="1"/>
      <w:numFmt w:val="bullet"/>
      <w:lvlText w:val="•"/>
      <w:lvlJc w:val="left"/>
      <w:pPr>
        <w:tabs>
          <w:tab w:val="num" w:pos="720"/>
        </w:tabs>
        <w:ind w:left="720" w:hanging="360"/>
      </w:pPr>
      <w:rPr>
        <w:rFonts w:ascii="Arial" w:hAnsi="Arial" w:hint="default"/>
      </w:rPr>
    </w:lvl>
    <w:lvl w:ilvl="1" w:tplc="7F16064C" w:tentative="1">
      <w:start w:val="1"/>
      <w:numFmt w:val="bullet"/>
      <w:lvlText w:val="•"/>
      <w:lvlJc w:val="left"/>
      <w:pPr>
        <w:tabs>
          <w:tab w:val="num" w:pos="1440"/>
        </w:tabs>
        <w:ind w:left="1440" w:hanging="360"/>
      </w:pPr>
      <w:rPr>
        <w:rFonts w:ascii="Arial" w:hAnsi="Arial" w:hint="default"/>
      </w:rPr>
    </w:lvl>
    <w:lvl w:ilvl="2" w:tplc="F79A8798" w:tentative="1">
      <w:start w:val="1"/>
      <w:numFmt w:val="bullet"/>
      <w:lvlText w:val="•"/>
      <w:lvlJc w:val="left"/>
      <w:pPr>
        <w:tabs>
          <w:tab w:val="num" w:pos="2160"/>
        </w:tabs>
        <w:ind w:left="2160" w:hanging="360"/>
      </w:pPr>
      <w:rPr>
        <w:rFonts w:ascii="Arial" w:hAnsi="Arial" w:hint="default"/>
      </w:rPr>
    </w:lvl>
    <w:lvl w:ilvl="3" w:tplc="5130F5A8" w:tentative="1">
      <w:start w:val="1"/>
      <w:numFmt w:val="bullet"/>
      <w:lvlText w:val="•"/>
      <w:lvlJc w:val="left"/>
      <w:pPr>
        <w:tabs>
          <w:tab w:val="num" w:pos="2880"/>
        </w:tabs>
        <w:ind w:left="2880" w:hanging="360"/>
      </w:pPr>
      <w:rPr>
        <w:rFonts w:ascii="Arial" w:hAnsi="Arial" w:hint="default"/>
      </w:rPr>
    </w:lvl>
    <w:lvl w:ilvl="4" w:tplc="D7EE52EC" w:tentative="1">
      <w:start w:val="1"/>
      <w:numFmt w:val="bullet"/>
      <w:lvlText w:val="•"/>
      <w:lvlJc w:val="left"/>
      <w:pPr>
        <w:tabs>
          <w:tab w:val="num" w:pos="3600"/>
        </w:tabs>
        <w:ind w:left="3600" w:hanging="360"/>
      </w:pPr>
      <w:rPr>
        <w:rFonts w:ascii="Arial" w:hAnsi="Arial" w:hint="default"/>
      </w:rPr>
    </w:lvl>
    <w:lvl w:ilvl="5" w:tplc="932EAE92" w:tentative="1">
      <w:start w:val="1"/>
      <w:numFmt w:val="bullet"/>
      <w:lvlText w:val="•"/>
      <w:lvlJc w:val="left"/>
      <w:pPr>
        <w:tabs>
          <w:tab w:val="num" w:pos="4320"/>
        </w:tabs>
        <w:ind w:left="4320" w:hanging="360"/>
      </w:pPr>
      <w:rPr>
        <w:rFonts w:ascii="Arial" w:hAnsi="Arial" w:hint="default"/>
      </w:rPr>
    </w:lvl>
    <w:lvl w:ilvl="6" w:tplc="ADCACE30" w:tentative="1">
      <w:start w:val="1"/>
      <w:numFmt w:val="bullet"/>
      <w:lvlText w:val="•"/>
      <w:lvlJc w:val="left"/>
      <w:pPr>
        <w:tabs>
          <w:tab w:val="num" w:pos="5040"/>
        </w:tabs>
        <w:ind w:left="5040" w:hanging="360"/>
      </w:pPr>
      <w:rPr>
        <w:rFonts w:ascii="Arial" w:hAnsi="Arial" w:hint="default"/>
      </w:rPr>
    </w:lvl>
    <w:lvl w:ilvl="7" w:tplc="90EC481A" w:tentative="1">
      <w:start w:val="1"/>
      <w:numFmt w:val="bullet"/>
      <w:lvlText w:val="•"/>
      <w:lvlJc w:val="left"/>
      <w:pPr>
        <w:tabs>
          <w:tab w:val="num" w:pos="5760"/>
        </w:tabs>
        <w:ind w:left="5760" w:hanging="360"/>
      </w:pPr>
      <w:rPr>
        <w:rFonts w:ascii="Arial" w:hAnsi="Arial" w:hint="default"/>
      </w:rPr>
    </w:lvl>
    <w:lvl w:ilvl="8" w:tplc="94CE37C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1A5264D"/>
    <w:multiLevelType w:val="hybridMultilevel"/>
    <w:tmpl w:val="1EC61C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1F054F3"/>
    <w:multiLevelType w:val="hybridMultilevel"/>
    <w:tmpl w:val="5AAAB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37D65B1"/>
    <w:multiLevelType w:val="hybridMultilevel"/>
    <w:tmpl w:val="2C9A6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A2A6F4B"/>
    <w:multiLevelType w:val="hybridMultilevel"/>
    <w:tmpl w:val="BABAEA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A614073"/>
    <w:multiLevelType w:val="hybridMultilevel"/>
    <w:tmpl w:val="61EE6D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7BC63A3A"/>
    <w:multiLevelType w:val="hybridMultilevel"/>
    <w:tmpl w:val="FA0E9302"/>
    <w:lvl w:ilvl="0" w:tplc="34D06E00">
      <w:start w:val="1"/>
      <w:numFmt w:val="bullet"/>
      <w:lvlText w:val="•"/>
      <w:lvlJc w:val="left"/>
      <w:pPr>
        <w:tabs>
          <w:tab w:val="num" w:pos="720"/>
        </w:tabs>
        <w:ind w:left="720" w:hanging="360"/>
      </w:pPr>
      <w:rPr>
        <w:rFonts w:ascii="Arial" w:hAnsi="Arial" w:hint="default"/>
      </w:rPr>
    </w:lvl>
    <w:lvl w:ilvl="1" w:tplc="80ACA498" w:tentative="1">
      <w:start w:val="1"/>
      <w:numFmt w:val="bullet"/>
      <w:lvlText w:val="•"/>
      <w:lvlJc w:val="left"/>
      <w:pPr>
        <w:tabs>
          <w:tab w:val="num" w:pos="1440"/>
        </w:tabs>
        <w:ind w:left="1440" w:hanging="360"/>
      </w:pPr>
      <w:rPr>
        <w:rFonts w:ascii="Arial" w:hAnsi="Arial" w:hint="default"/>
      </w:rPr>
    </w:lvl>
    <w:lvl w:ilvl="2" w:tplc="E2E65418" w:tentative="1">
      <w:start w:val="1"/>
      <w:numFmt w:val="bullet"/>
      <w:lvlText w:val="•"/>
      <w:lvlJc w:val="left"/>
      <w:pPr>
        <w:tabs>
          <w:tab w:val="num" w:pos="2160"/>
        </w:tabs>
        <w:ind w:left="2160" w:hanging="360"/>
      </w:pPr>
      <w:rPr>
        <w:rFonts w:ascii="Arial" w:hAnsi="Arial" w:hint="default"/>
      </w:rPr>
    </w:lvl>
    <w:lvl w:ilvl="3" w:tplc="81A8754C" w:tentative="1">
      <w:start w:val="1"/>
      <w:numFmt w:val="bullet"/>
      <w:lvlText w:val="•"/>
      <w:lvlJc w:val="left"/>
      <w:pPr>
        <w:tabs>
          <w:tab w:val="num" w:pos="2880"/>
        </w:tabs>
        <w:ind w:left="2880" w:hanging="360"/>
      </w:pPr>
      <w:rPr>
        <w:rFonts w:ascii="Arial" w:hAnsi="Arial" w:hint="default"/>
      </w:rPr>
    </w:lvl>
    <w:lvl w:ilvl="4" w:tplc="46D2370C" w:tentative="1">
      <w:start w:val="1"/>
      <w:numFmt w:val="bullet"/>
      <w:lvlText w:val="•"/>
      <w:lvlJc w:val="left"/>
      <w:pPr>
        <w:tabs>
          <w:tab w:val="num" w:pos="3600"/>
        </w:tabs>
        <w:ind w:left="3600" w:hanging="360"/>
      </w:pPr>
      <w:rPr>
        <w:rFonts w:ascii="Arial" w:hAnsi="Arial" w:hint="default"/>
      </w:rPr>
    </w:lvl>
    <w:lvl w:ilvl="5" w:tplc="13FC248C" w:tentative="1">
      <w:start w:val="1"/>
      <w:numFmt w:val="bullet"/>
      <w:lvlText w:val="•"/>
      <w:lvlJc w:val="left"/>
      <w:pPr>
        <w:tabs>
          <w:tab w:val="num" w:pos="4320"/>
        </w:tabs>
        <w:ind w:left="4320" w:hanging="360"/>
      </w:pPr>
      <w:rPr>
        <w:rFonts w:ascii="Arial" w:hAnsi="Arial" w:hint="default"/>
      </w:rPr>
    </w:lvl>
    <w:lvl w:ilvl="6" w:tplc="94D06448" w:tentative="1">
      <w:start w:val="1"/>
      <w:numFmt w:val="bullet"/>
      <w:lvlText w:val="•"/>
      <w:lvlJc w:val="left"/>
      <w:pPr>
        <w:tabs>
          <w:tab w:val="num" w:pos="5040"/>
        </w:tabs>
        <w:ind w:left="5040" w:hanging="360"/>
      </w:pPr>
      <w:rPr>
        <w:rFonts w:ascii="Arial" w:hAnsi="Arial" w:hint="default"/>
      </w:rPr>
    </w:lvl>
    <w:lvl w:ilvl="7" w:tplc="7EEA674E" w:tentative="1">
      <w:start w:val="1"/>
      <w:numFmt w:val="bullet"/>
      <w:lvlText w:val="•"/>
      <w:lvlJc w:val="left"/>
      <w:pPr>
        <w:tabs>
          <w:tab w:val="num" w:pos="5760"/>
        </w:tabs>
        <w:ind w:left="5760" w:hanging="360"/>
      </w:pPr>
      <w:rPr>
        <w:rFonts w:ascii="Arial" w:hAnsi="Arial" w:hint="default"/>
      </w:rPr>
    </w:lvl>
    <w:lvl w:ilvl="8" w:tplc="A99C531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1D615B"/>
    <w:multiLevelType w:val="hybridMultilevel"/>
    <w:tmpl w:val="731C5B0C"/>
    <w:lvl w:ilvl="0" w:tplc="06DC961E">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43"/>
  </w:num>
  <w:num w:numId="2">
    <w:abstractNumId w:val="11"/>
  </w:num>
  <w:num w:numId="3">
    <w:abstractNumId w:val="10"/>
  </w:num>
  <w:num w:numId="4">
    <w:abstractNumId w:val="20"/>
  </w:num>
  <w:num w:numId="5">
    <w:abstractNumId w:val="26"/>
  </w:num>
  <w:num w:numId="6">
    <w:abstractNumId w:val="14"/>
  </w:num>
  <w:num w:numId="7">
    <w:abstractNumId w:val="35"/>
  </w:num>
  <w:num w:numId="8">
    <w:abstractNumId w:val="22"/>
  </w:num>
  <w:num w:numId="9">
    <w:abstractNumId w:val="2"/>
  </w:num>
  <w:num w:numId="10">
    <w:abstractNumId w:val="24"/>
  </w:num>
  <w:num w:numId="11">
    <w:abstractNumId w:val="46"/>
  </w:num>
  <w:num w:numId="12">
    <w:abstractNumId w:val="45"/>
  </w:num>
  <w:num w:numId="13">
    <w:abstractNumId w:val="8"/>
  </w:num>
  <w:num w:numId="14">
    <w:abstractNumId w:val="37"/>
  </w:num>
  <w:num w:numId="15">
    <w:abstractNumId w:val="7"/>
  </w:num>
  <w:num w:numId="16">
    <w:abstractNumId w:val="31"/>
  </w:num>
  <w:num w:numId="17">
    <w:abstractNumId w:val="32"/>
  </w:num>
  <w:num w:numId="18">
    <w:abstractNumId w:val="16"/>
  </w:num>
  <w:num w:numId="19">
    <w:abstractNumId w:val="18"/>
  </w:num>
  <w:num w:numId="20">
    <w:abstractNumId w:val="12"/>
  </w:num>
  <w:num w:numId="21">
    <w:abstractNumId w:val="4"/>
  </w:num>
  <w:num w:numId="22">
    <w:abstractNumId w:val="21"/>
  </w:num>
  <w:num w:numId="23">
    <w:abstractNumId w:val="29"/>
  </w:num>
  <w:num w:numId="24">
    <w:abstractNumId w:val="47"/>
  </w:num>
  <w:num w:numId="25">
    <w:abstractNumId w:val="19"/>
  </w:num>
  <w:num w:numId="26">
    <w:abstractNumId w:val="25"/>
  </w:num>
  <w:num w:numId="27">
    <w:abstractNumId w:val="3"/>
  </w:num>
  <w:num w:numId="28">
    <w:abstractNumId w:val="30"/>
  </w:num>
  <w:num w:numId="29">
    <w:abstractNumId w:val="33"/>
  </w:num>
  <w:num w:numId="30">
    <w:abstractNumId w:val="40"/>
  </w:num>
  <w:num w:numId="31">
    <w:abstractNumId w:val="36"/>
  </w:num>
  <w:num w:numId="32">
    <w:abstractNumId w:val="13"/>
  </w:num>
  <w:num w:numId="33">
    <w:abstractNumId w:val="6"/>
  </w:num>
  <w:num w:numId="34">
    <w:abstractNumId w:val="28"/>
  </w:num>
  <w:num w:numId="35">
    <w:abstractNumId w:val="0"/>
  </w:num>
  <w:num w:numId="36">
    <w:abstractNumId w:val="38"/>
  </w:num>
  <w:num w:numId="37">
    <w:abstractNumId w:val="42"/>
  </w:num>
  <w:num w:numId="38">
    <w:abstractNumId w:val="48"/>
  </w:num>
  <w:num w:numId="39">
    <w:abstractNumId w:val="23"/>
  </w:num>
  <w:num w:numId="40">
    <w:abstractNumId w:val="15"/>
  </w:num>
  <w:num w:numId="41">
    <w:abstractNumId w:val="9"/>
  </w:num>
  <w:num w:numId="42">
    <w:abstractNumId w:val="41"/>
  </w:num>
  <w:num w:numId="43">
    <w:abstractNumId w:val="1"/>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44"/>
  </w:num>
  <w:num w:numId="47">
    <w:abstractNumId w:val="49"/>
  </w:num>
  <w:num w:numId="48">
    <w:abstractNumId w:val="17"/>
  </w:num>
  <w:num w:numId="49">
    <w:abstractNumId w:val="27"/>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3C"/>
    <w:rsid w:val="00002899"/>
    <w:rsid w:val="0000300A"/>
    <w:rsid w:val="00004667"/>
    <w:rsid w:val="00004B54"/>
    <w:rsid w:val="00007432"/>
    <w:rsid w:val="00007CC4"/>
    <w:rsid w:val="00007FED"/>
    <w:rsid w:val="0001158F"/>
    <w:rsid w:val="00012E0D"/>
    <w:rsid w:val="00014845"/>
    <w:rsid w:val="00016AB4"/>
    <w:rsid w:val="000173D1"/>
    <w:rsid w:val="0002024D"/>
    <w:rsid w:val="0002050D"/>
    <w:rsid w:val="00024687"/>
    <w:rsid w:val="0002622A"/>
    <w:rsid w:val="0002729B"/>
    <w:rsid w:val="00027733"/>
    <w:rsid w:val="000277DF"/>
    <w:rsid w:val="00030043"/>
    <w:rsid w:val="00031545"/>
    <w:rsid w:val="00032392"/>
    <w:rsid w:val="00033C26"/>
    <w:rsid w:val="000369D9"/>
    <w:rsid w:val="00044918"/>
    <w:rsid w:val="00044C37"/>
    <w:rsid w:val="00053F9E"/>
    <w:rsid w:val="00054D68"/>
    <w:rsid w:val="000575CF"/>
    <w:rsid w:val="00057EFD"/>
    <w:rsid w:val="0006098D"/>
    <w:rsid w:val="0006138F"/>
    <w:rsid w:val="00061426"/>
    <w:rsid w:val="0006147F"/>
    <w:rsid w:val="00063A1A"/>
    <w:rsid w:val="00064701"/>
    <w:rsid w:val="00066940"/>
    <w:rsid w:val="00066A0B"/>
    <w:rsid w:val="00071192"/>
    <w:rsid w:val="00072C38"/>
    <w:rsid w:val="000736B2"/>
    <w:rsid w:val="00073BF9"/>
    <w:rsid w:val="00074E7F"/>
    <w:rsid w:val="00074EB9"/>
    <w:rsid w:val="00076FEF"/>
    <w:rsid w:val="00080879"/>
    <w:rsid w:val="000808B1"/>
    <w:rsid w:val="000864D9"/>
    <w:rsid w:val="000909D9"/>
    <w:rsid w:val="000921FE"/>
    <w:rsid w:val="00092B67"/>
    <w:rsid w:val="00093B97"/>
    <w:rsid w:val="00094BF7"/>
    <w:rsid w:val="000956D5"/>
    <w:rsid w:val="00095EB1"/>
    <w:rsid w:val="0009617D"/>
    <w:rsid w:val="000A03C1"/>
    <w:rsid w:val="000A17B3"/>
    <w:rsid w:val="000A2979"/>
    <w:rsid w:val="000B08F0"/>
    <w:rsid w:val="000B2AA4"/>
    <w:rsid w:val="000B3722"/>
    <w:rsid w:val="000B4619"/>
    <w:rsid w:val="000B5052"/>
    <w:rsid w:val="000C0228"/>
    <w:rsid w:val="000C0A39"/>
    <w:rsid w:val="000C3759"/>
    <w:rsid w:val="000C3FC3"/>
    <w:rsid w:val="000C4279"/>
    <w:rsid w:val="000C7640"/>
    <w:rsid w:val="000C79C2"/>
    <w:rsid w:val="000D03D6"/>
    <w:rsid w:val="000D1096"/>
    <w:rsid w:val="000D249C"/>
    <w:rsid w:val="000D3A94"/>
    <w:rsid w:val="000E00A4"/>
    <w:rsid w:val="000E00C4"/>
    <w:rsid w:val="000E0207"/>
    <w:rsid w:val="000E1053"/>
    <w:rsid w:val="000E2197"/>
    <w:rsid w:val="000E3419"/>
    <w:rsid w:val="000E3B81"/>
    <w:rsid w:val="000E3BFB"/>
    <w:rsid w:val="000E644F"/>
    <w:rsid w:val="000E65BE"/>
    <w:rsid w:val="000E75E5"/>
    <w:rsid w:val="000F09B8"/>
    <w:rsid w:val="000F5515"/>
    <w:rsid w:val="000F58CD"/>
    <w:rsid w:val="000F6DAE"/>
    <w:rsid w:val="001008D2"/>
    <w:rsid w:val="0010152D"/>
    <w:rsid w:val="0010176E"/>
    <w:rsid w:val="001028DA"/>
    <w:rsid w:val="00103569"/>
    <w:rsid w:val="001043D9"/>
    <w:rsid w:val="00104403"/>
    <w:rsid w:val="0010478E"/>
    <w:rsid w:val="0010529E"/>
    <w:rsid w:val="00107FD1"/>
    <w:rsid w:val="00107FDC"/>
    <w:rsid w:val="00111D98"/>
    <w:rsid w:val="00112B0C"/>
    <w:rsid w:val="00113960"/>
    <w:rsid w:val="00115449"/>
    <w:rsid w:val="00117E7F"/>
    <w:rsid w:val="00121835"/>
    <w:rsid w:val="00122C7E"/>
    <w:rsid w:val="00122F74"/>
    <w:rsid w:val="001242BE"/>
    <w:rsid w:val="00126D4D"/>
    <w:rsid w:val="001332BC"/>
    <w:rsid w:val="0013424E"/>
    <w:rsid w:val="001367B8"/>
    <w:rsid w:val="001404E4"/>
    <w:rsid w:val="00141C32"/>
    <w:rsid w:val="00141D11"/>
    <w:rsid w:val="0014257A"/>
    <w:rsid w:val="00142BB0"/>
    <w:rsid w:val="00143430"/>
    <w:rsid w:val="0014343F"/>
    <w:rsid w:val="00144A69"/>
    <w:rsid w:val="00146B21"/>
    <w:rsid w:val="00146C93"/>
    <w:rsid w:val="00151285"/>
    <w:rsid w:val="00153FBB"/>
    <w:rsid w:val="00154B47"/>
    <w:rsid w:val="00154ED5"/>
    <w:rsid w:val="001625CC"/>
    <w:rsid w:val="00162E62"/>
    <w:rsid w:val="001631A7"/>
    <w:rsid w:val="00163C07"/>
    <w:rsid w:val="0016666D"/>
    <w:rsid w:val="00170274"/>
    <w:rsid w:val="0017194B"/>
    <w:rsid w:val="001734EF"/>
    <w:rsid w:val="0017750C"/>
    <w:rsid w:val="001816B9"/>
    <w:rsid w:val="00181C6E"/>
    <w:rsid w:val="00181F9F"/>
    <w:rsid w:val="0018285B"/>
    <w:rsid w:val="00184779"/>
    <w:rsid w:val="0018579A"/>
    <w:rsid w:val="00191B5F"/>
    <w:rsid w:val="00191FC0"/>
    <w:rsid w:val="00192BE9"/>
    <w:rsid w:val="001935C3"/>
    <w:rsid w:val="00193AC4"/>
    <w:rsid w:val="001956CC"/>
    <w:rsid w:val="0019793C"/>
    <w:rsid w:val="001A2F7E"/>
    <w:rsid w:val="001A55D8"/>
    <w:rsid w:val="001A6888"/>
    <w:rsid w:val="001B0B31"/>
    <w:rsid w:val="001B33F4"/>
    <w:rsid w:val="001B43B2"/>
    <w:rsid w:val="001B6DB9"/>
    <w:rsid w:val="001C3993"/>
    <w:rsid w:val="001C39D4"/>
    <w:rsid w:val="001C441B"/>
    <w:rsid w:val="001C4A3E"/>
    <w:rsid w:val="001C4D07"/>
    <w:rsid w:val="001C64A3"/>
    <w:rsid w:val="001D29B0"/>
    <w:rsid w:val="001D603C"/>
    <w:rsid w:val="001D691F"/>
    <w:rsid w:val="001E0760"/>
    <w:rsid w:val="001E110B"/>
    <w:rsid w:val="001E6172"/>
    <w:rsid w:val="001E748D"/>
    <w:rsid w:val="001E7EF0"/>
    <w:rsid w:val="001F031A"/>
    <w:rsid w:val="001F08C5"/>
    <w:rsid w:val="001F2C12"/>
    <w:rsid w:val="001F6007"/>
    <w:rsid w:val="001F74D1"/>
    <w:rsid w:val="001F7ABB"/>
    <w:rsid w:val="0020294A"/>
    <w:rsid w:val="00203092"/>
    <w:rsid w:val="002031B4"/>
    <w:rsid w:val="00203287"/>
    <w:rsid w:val="0020363D"/>
    <w:rsid w:val="00205B3A"/>
    <w:rsid w:val="002062F1"/>
    <w:rsid w:val="00207AF3"/>
    <w:rsid w:val="002102BC"/>
    <w:rsid w:val="0021074A"/>
    <w:rsid w:val="00214974"/>
    <w:rsid w:val="00214F99"/>
    <w:rsid w:val="002156BC"/>
    <w:rsid w:val="002168CF"/>
    <w:rsid w:val="00216F1A"/>
    <w:rsid w:val="002170FC"/>
    <w:rsid w:val="00217E21"/>
    <w:rsid w:val="002210BD"/>
    <w:rsid w:val="002235AB"/>
    <w:rsid w:val="00224351"/>
    <w:rsid w:val="0022554B"/>
    <w:rsid w:val="00226365"/>
    <w:rsid w:val="002305ED"/>
    <w:rsid w:val="002320C2"/>
    <w:rsid w:val="00233318"/>
    <w:rsid w:val="00234AD3"/>
    <w:rsid w:val="002356C6"/>
    <w:rsid w:val="00235CE7"/>
    <w:rsid w:val="00241A51"/>
    <w:rsid w:val="00241E6A"/>
    <w:rsid w:val="00242559"/>
    <w:rsid w:val="00243238"/>
    <w:rsid w:val="0025329F"/>
    <w:rsid w:val="00254A88"/>
    <w:rsid w:val="00254D30"/>
    <w:rsid w:val="002558D2"/>
    <w:rsid w:val="00257D12"/>
    <w:rsid w:val="002620F2"/>
    <w:rsid w:val="0026660B"/>
    <w:rsid w:val="00266A30"/>
    <w:rsid w:val="00273E2F"/>
    <w:rsid w:val="0027400D"/>
    <w:rsid w:val="002749CA"/>
    <w:rsid w:val="00274E7C"/>
    <w:rsid w:val="002753DF"/>
    <w:rsid w:val="0027619C"/>
    <w:rsid w:val="00276410"/>
    <w:rsid w:val="00276658"/>
    <w:rsid w:val="00277001"/>
    <w:rsid w:val="00280EAB"/>
    <w:rsid w:val="00281A8E"/>
    <w:rsid w:val="00286D33"/>
    <w:rsid w:val="0028735F"/>
    <w:rsid w:val="00290116"/>
    <w:rsid w:val="00290E74"/>
    <w:rsid w:val="002912B1"/>
    <w:rsid w:val="00293C9F"/>
    <w:rsid w:val="002A1383"/>
    <w:rsid w:val="002A645E"/>
    <w:rsid w:val="002B04B6"/>
    <w:rsid w:val="002B102D"/>
    <w:rsid w:val="002B13F2"/>
    <w:rsid w:val="002B1740"/>
    <w:rsid w:val="002B1BB6"/>
    <w:rsid w:val="002B46C9"/>
    <w:rsid w:val="002B5C27"/>
    <w:rsid w:val="002C2423"/>
    <w:rsid w:val="002C3355"/>
    <w:rsid w:val="002C64F7"/>
    <w:rsid w:val="002C6517"/>
    <w:rsid w:val="002C6CF7"/>
    <w:rsid w:val="002D256E"/>
    <w:rsid w:val="002D314E"/>
    <w:rsid w:val="002E02E4"/>
    <w:rsid w:val="002E02E6"/>
    <w:rsid w:val="002E1CC9"/>
    <w:rsid w:val="002E5217"/>
    <w:rsid w:val="002F2C66"/>
    <w:rsid w:val="002F6746"/>
    <w:rsid w:val="003058F6"/>
    <w:rsid w:val="003064CD"/>
    <w:rsid w:val="00306D0C"/>
    <w:rsid w:val="003077A9"/>
    <w:rsid w:val="00307A88"/>
    <w:rsid w:val="00310087"/>
    <w:rsid w:val="003139F9"/>
    <w:rsid w:val="00313C91"/>
    <w:rsid w:val="00314CA5"/>
    <w:rsid w:val="0031575D"/>
    <w:rsid w:val="00316622"/>
    <w:rsid w:val="00320C98"/>
    <w:rsid w:val="00322E87"/>
    <w:rsid w:val="00322F2B"/>
    <w:rsid w:val="0032384F"/>
    <w:rsid w:val="0032399C"/>
    <w:rsid w:val="003241ED"/>
    <w:rsid w:val="00326923"/>
    <w:rsid w:val="00327F1A"/>
    <w:rsid w:val="00330BC6"/>
    <w:rsid w:val="003332DC"/>
    <w:rsid w:val="00333E5C"/>
    <w:rsid w:val="00335B4B"/>
    <w:rsid w:val="00335F2C"/>
    <w:rsid w:val="0033755C"/>
    <w:rsid w:val="00340EBB"/>
    <w:rsid w:val="00341003"/>
    <w:rsid w:val="00342BF1"/>
    <w:rsid w:val="003430E0"/>
    <w:rsid w:val="00344ABA"/>
    <w:rsid w:val="00344AC5"/>
    <w:rsid w:val="00345008"/>
    <w:rsid w:val="00345959"/>
    <w:rsid w:val="00345A9C"/>
    <w:rsid w:val="00347BBE"/>
    <w:rsid w:val="00350ECC"/>
    <w:rsid w:val="00350F39"/>
    <w:rsid w:val="00351282"/>
    <w:rsid w:val="00351368"/>
    <w:rsid w:val="00354715"/>
    <w:rsid w:val="00354CE4"/>
    <w:rsid w:val="003629D5"/>
    <w:rsid w:val="00364932"/>
    <w:rsid w:val="00366371"/>
    <w:rsid w:val="00367D46"/>
    <w:rsid w:val="003700EC"/>
    <w:rsid w:val="00372A4C"/>
    <w:rsid w:val="00375819"/>
    <w:rsid w:val="00375B14"/>
    <w:rsid w:val="00376522"/>
    <w:rsid w:val="00376CE6"/>
    <w:rsid w:val="0037720D"/>
    <w:rsid w:val="00377B99"/>
    <w:rsid w:val="00380199"/>
    <w:rsid w:val="003804EB"/>
    <w:rsid w:val="003838CB"/>
    <w:rsid w:val="003863A3"/>
    <w:rsid w:val="0038652D"/>
    <w:rsid w:val="003869BA"/>
    <w:rsid w:val="003901CC"/>
    <w:rsid w:val="00391586"/>
    <w:rsid w:val="00391C1F"/>
    <w:rsid w:val="00393170"/>
    <w:rsid w:val="003931F1"/>
    <w:rsid w:val="00394F4F"/>
    <w:rsid w:val="00395406"/>
    <w:rsid w:val="003968C9"/>
    <w:rsid w:val="00396E7F"/>
    <w:rsid w:val="003977FD"/>
    <w:rsid w:val="003A31D4"/>
    <w:rsid w:val="003A438E"/>
    <w:rsid w:val="003A5FA2"/>
    <w:rsid w:val="003B2287"/>
    <w:rsid w:val="003B23EA"/>
    <w:rsid w:val="003B314D"/>
    <w:rsid w:val="003B3560"/>
    <w:rsid w:val="003B5F76"/>
    <w:rsid w:val="003B7CA7"/>
    <w:rsid w:val="003C091A"/>
    <w:rsid w:val="003C18F3"/>
    <w:rsid w:val="003C2AA1"/>
    <w:rsid w:val="003C31E1"/>
    <w:rsid w:val="003C3E9B"/>
    <w:rsid w:val="003C580C"/>
    <w:rsid w:val="003D0FB4"/>
    <w:rsid w:val="003D208E"/>
    <w:rsid w:val="003D278D"/>
    <w:rsid w:val="003D3006"/>
    <w:rsid w:val="003D4BD5"/>
    <w:rsid w:val="003D5B3E"/>
    <w:rsid w:val="003D612A"/>
    <w:rsid w:val="003D6CF1"/>
    <w:rsid w:val="003D787F"/>
    <w:rsid w:val="003E0905"/>
    <w:rsid w:val="003E0FBB"/>
    <w:rsid w:val="003E1538"/>
    <w:rsid w:val="003E430B"/>
    <w:rsid w:val="003E665F"/>
    <w:rsid w:val="003E6FCB"/>
    <w:rsid w:val="003E77F3"/>
    <w:rsid w:val="003F0576"/>
    <w:rsid w:val="003F1B06"/>
    <w:rsid w:val="003F29B1"/>
    <w:rsid w:val="003F3730"/>
    <w:rsid w:val="003F3E2C"/>
    <w:rsid w:val="003F5D76"/>
    <w:rsid w:val="00400542"/>
    <w:rsid w:val="0040093A"/>
    <w:rsid w:val="00400ABA"/>
    <w:rsid w:val="00401CF6"/>
    <w:rsid w:val="00402F48"/>
    <w:rsid w:val="0040426B"/>
    <w:rsid w:val="004070E0"/>
    <w:rsid w:val="00413FDD"/>
    <w:rsid w:val="00417DFA"/>
    <w:rsid w:val="00420CE1"/>
    <w:rsid w:val="00421B7B"/>
    <w:rsid w:val="00422627"/>
    <w:rsid w:val="00422995"/>
    <w:rsid w:val="00425690"/>
    <w:rsid w:val="00427812"/>
    <w:rsid w:val="004307DE"/>
    <w:rsid w:val="00431BA8"/>
    <w:rsid w:val="00432ED2"/>
    <w:rsid w:val="00436AAF"/>
    <w:rsid w:val="0043760E"/>
    <w:rsid w:val="00440768"/>
    <w:rsid w:val="00441B63"/>
    <w:rsid w:val="00445661"/>
    <w:rsid w:val="00445C9D"/>
    <w:rsid w:val="0045170C"/>
    <w:rsid w:val="004517FE"/>
    <w:rsid w:val="0045505A"/>
    <w:rsid w:val="0045778D"/>
    <w:rsid w:val="00460850"/>
    <w:rsid w:val="00460861"/>
    <w:rsid w:val="00461571"/>
    <w:rsid w:val="0046169B"/>
    <w:rsid w:val="004617EE"/>
    <w:rsid w:val="0046259E"/>
    <w:rsid w:val="004627A3"/>
    <w:rsid w:val="0046341A"/>
    <w:rsid w:val="00470897"/>
    <w:rsid w:val="0047364C"/>
    <w:rsid w:val="00475216"/>
    <w:rsid w:val="004757E4"/>
    <w:rsid w:val="00475D99"/>
    <w:rsid w:val="00477606"/>
    <w:rsid w:val="00477CDA"/>
    <w:rsid w:val="00480DEC"/>
    <w:rsid w:val="00481A50"/>
    <w:rsid w:val="00481A85"/>
    <w:rsid w:val="00483878"/>
    <w:rsid w:val="00483CBC"/>
    <w:rsid w:val="00486739"/>
    <w:rsid w:val="00487713"/>
    <w:rsid w:val="00490734"/>
    <w:rsid w:val="00494737"/>
    <w:rsid w:val="004A1F5E"/>
    <w:rsid w:val="004A229F"/>
    <w:rsid w:val="004A3F12"/>
    <w:rsid w:val="004A43C4"/>
    <w:rsid w:val="004A4BEC"/>
    <w:rsid w:val="004A4D0B"/>
    <w:rsid w:val="004A63B7"/>
    <w:rsid w:val="004A7FD7"/>
    <w:rsid w:val="004B04BE"/>
    <w:rsid w:val="004B0568"/>
    <w:rsid w:val="004B4408"/>
    <w:rsid w:val="004B53AE"/>
    <w:rsid w:val="004B5827"/>
    <w:rsid w:val="004B6070"/>
    <w:rsid w:val="004B6918"/>
    <w:rsid w:val="004C2C93"/>
    <w:rsid w:val="004C30C8"/>
    <w:rsid w:val="004C3F36"/>
    <w:rsid w:val="004C56A4"/>
    <w:rsid w:val="004C69F8"/>
    <w:rsid w:val="004D09F0"/>
    <w:rsid w:val="004D1803"/>
    <w:rsid w:val="004D18B2"/>
    <w:rsid w:val="004D5951"/>
    <w:rsid w:val="004D5B84"/>
    <w:rsid w:val="004D7033"/>
    <w:rsid w:val="004E193E"/>
    <w:rsid w:val="004E2180"/>
    <w:rsid w:val="004E250B"/>
    <w:rsid w:val="004E2BD0"/>
    <w:rsid w:val="004E46CD"/>
    <w:rsid w:val="004E5D1A"/>
    <w:rsid w:val="004E73E7"/>
    <w:rsid w:val="004F1005"/>
    <w:rsid w:val="004F1BAE"/>
    <w:rsid w:val="004F2F46"/>
    <w:rsid w:val="004F30DD"/>
    <w:rsid w:val="004F4347"/>
    <w:rsid w:val="004F4CCA"/>
    <w:rsid w:val="004F6964"/>
    <w:rsid w:val="004F7120"/>
    <w:rsid w:val="00504F1F"/>
    <w:rsid w:val="00506CA7"/>
    <w:rsid w:val="00512A08"/>
    <w:rsid w:val="00514247"/>
    <w:rsid w:val="00515E22"/>
    <w:rsid w:val="0051678D"/>
    <w:rsid w:val="00517E51"/>
    <w:rsid w:val="005206AC"/>
    <w:rsid w:val="00520E3B"/>
    <w:rsid w:val="005211CE"/>
    <w:rsid w:val="005215EE"/>
    <w:rsid w:val="00522DCD"/>
    <w:rsid w:val="00523732"/>
    <w:rsid w:val="005237B0"/>
    <w:rsid w:val="005276E9"/>
    <w:rsid w:val="00527926"/>
    <w:rsid w:val="00535250"/>
    <w:rsid w:val="0053595C"/>
    <w:rsid w:val="005363CE"/>
    <w:rsid w:val="0053676B"/>
    <w:rsid w:val="005414C1"/>
    <w:rsid w:val="00543CFF"/>
    <w:rsid w:val="0054716B"/>
    <w:rsid w:val="005478AF"/>
    <w:rsid w:val="00547904"/>
    <w:rsid w:val="005549EA"/>
    <w:rsid w:val="0055523E"/>
    <w:rsid w:val="00556311"/>
    <w:rsid w:val="005607C7"/>
    <w:rsid w:val="00562AA1"/>
    <w:rsid w:val="00562C15"/>
    <w:rsid w:val="005632EF"/>
    <w:rsid w:val="00563755"/>
    <w:rsid w:val="00564B49"/>
    <w:rsid w:val="00565DCC"/>
    <w:rsid w:val="0056633E"/>
    <w:rsid w:val="00571309"/>
    <w:rsid w:val="0057166C"/>
    <w:rsid w:val="00571B79"/>
    <w:rsid w:val="00571D58"/>
    <w:rsid w:val="00574D96"/>
    <w:rsid w:val="00575E0B"/>
    <w:rsid w:val="00580483"/>
    <w:rsid w:val="00581AA4"/>
    <w:rsid w:val="005829E5"/>
    <w:rsid w:val="00583AE4"/>
    <w:rsid w:val="00583C9A"/>
    <w:rsid w:val="00583EB0"/>
    <w:rsid w:val="00584A6B"/>
    <w:rsid w:val="00584DD9"/>
    <w:rsid w:val="00587FF3"/>
    <w:rsid w:val="00590548"/>
    <w:rsid w:val="0059169C"/>
    <w:rsid w:val="0059368A"/>
    <w:rsid w:val="00596096"/>
    <w:rsid w:val="005A0955"/>
    <w:rsid w:val="005A0E09"/>
    <w:rsid w:val="005A2F19"/>
    <w:rsid w:val="005A30E8"/>
    <w:rsid w:val="005A7023"/>
    <w:rsid w:val="005B1F83"/>
    <w:rsid w:val="005B1F9F"/>
    <w:rsid w:val="005B21C3"/>
    <w:rsid w:val="005B2F8B"/>
    <w:rsid w:val="005B3CA2"/>
    <w:rsid w:val="005B4C03"/>
    <w:rsid w:val="005B4E9A"/>
    <w:rsid w:val="005B57CF"/>
    <w:rsid w:val="005B69BB"/>
    <w:rsid w:val="005B7C66"/>
    <w:rsid w:val="005C0599"/>
    <w:rsid w:val="005C1451"/>
    <w:rsid w:val="005C14E8"/>
    <w:rsid w:val="005C3467"/>
    <w:rsid w:val="005C528C"/>
    <w:rsid w:val="005C5CA2"/>
    <w:rsid w:val="005C7FA1"/>
    <w:rsid w:val="005D03F2"/>
    <w:rsid w:val="005D080A"/>
    <w:rsid w:val="005D0853"/>
    <w:rsid w:val="005D3DC4"/>
    <w:rsid w:val="005D491A"/>
    <w:rsid w:val="005D7A31"/>
    <w:rsid w:val="005E054F"/>
    <w:rsid w:val="005E15FD"/>
    <w:rsid w:val="005E3396"/>
    <w:rsid w:val="005E3467"/>
    <w:rsid w:val="005E57CD"/>
    <w:rsid w:val="005E67A8"/>
    <w:rsid w:val="005F0FBB"/>
    <w:rsid w:val="005F1306"/>
    <w:rsid w:val="005F1332"/>
    <w:rsid w:val="005F170F"/>
    <w:rsid w:val="005F1950"/>
    <w:rsid w:val="005F50DD"/>
    <w:rsid w:val="005F5C4F"/>
    <w:rsid w:val="005F5DE3"/>
    <w:rsid w:val="005F74A1"/>
    <w:rsid w:val="00600623"/>
    <w:rsid w:val="0060233B"/>
    <w:rsid w:val="0060265F"/>
    <w:rsid w:val="00602FA8"/>
    <w:rsid w:val="006051EF"/>
    <w:rsid w:val="00610256"/>
    <w:rsid w:val="0061044D"/>
    <w:rsid w:val="00610604"/>
    <w:rsid w:val="00612C49"/>
    <w:rsid w:val="00613409"/>
    <w:rsid w:val="00613C18"/>
    <w:rsid w:val="00613EE5"/>
    <w:rsid w:val="006160C6"/>
    <w:rsid w:val="00617BE0"/>
    <w:rsid w:val="00620C37"/>
    <w:rsid w:val="006215F2"/>
    <w:rsid w:val="006238A7"/>
    <w:rsid w:val="00624FF2"/>
    <w:rsid w:val="006250C4"/>
    <w:rsid w:val="0062535B"/>
    <w:rsid w:val="00625FDB"/>
    <w:rsid w:val="00630089"/>
    <w:rsid w:val="006302E5"/>
    <w:rsid w:val="00631406"/>
    <w:rsid w:val="00632A45"/>
    <w:rsid w:val="00633522"/>
    <w:rsid w:val="0063396D"/>
    <w:rsid w:val="006342E6"/>
    <w:rsid w:val="006358CE"/>
    <w:rsid w:val="006400F3"/>
    <w:rsid w:val="00640A3E"/>
    <w:rsid w:val="006419D9"/>
    <w:rsid w:val="00641A0D"/>
    <w:rsid w:val="00641A2F"/>
    <w:rsid w:val="006421E2"/>
    <w:rsid w:val="006436CB"/>
    <w:rsid w:val="00644A7F"/>
    <w:rsid w:val="006462E9"/>
    <w:rsid w:val="0064747B"/>
    <w:rsid w:val="00647FB2"/>
    <w:rsid w:val="006507AF"/>
    <w:rsid w:val="00650AA2"/>
    <w:rsid w:val="00650AF8"/>
    <w:rsid w:val="006544FD"/>
    <w:rsid w:val="0065523A"/>
    <w:rsid w:val="00655D40"/>
    <w:rsid w:val="00657E1B"/>
    <w:rsid w:val="00660648"/>
    <w:rsid w:val="00661491"/>
    <w:rsid w:val="00661C43"/>
    <w:rsid w:val="006631C7"/>
    <w:rsid w:val="0066438C"/>
    <w:rsid w:val="006648D1"/>
    <w:rsid w:val="006657F2"/>
    <w:rsid w:val="006660F2"/>
    <w:rsid w:val="00666BD9"/>
    <w:rsid w:val="0066781E"/>
    <w:rsid w:val="00671236"/>
    <w:rsid w:val="00673205"/>
    <w:rsid w:val="006753E4"/>
    <w:rsid w:val="00677A62"/>
    <w:rsid w:val="00677C0A"/>
    <w:rsid w:val="0068067C"/>
    <w:rsid w:val="006818A2"/>
    <w:rsid w:val="00685338"/>
    <w:rsid w:val="006865B8"/>
    <w:rsid w:val="00690407"/>
    <w:rsid w:val="00691181"/>
    <w:rsid w:val="00691359"/>
    <w:rsid w:val="00692522"/>
    <w:rsid w:val="00693552"/>
    <w:rsid w:val="0069381E"/>
    <w:rsid w:val="00693DB6"/>
    <w:rsid w:val="006945B2"/>
    <w:rsid w:val="006965C6"/>
    <w:rsid w:val="006968C3"/>
    <w:rsid w:val="00697C72"/>
    <w:rsid w:val="006A183E"/>
    <w:rsid w:val="006A1A9E"/>
    <w:rsid w:val="006A285A"/>
    <w:rsid w:val="006A3DC8"/>
    <w:rsid w:val="006A7A56"/>
    <w:rsid w:val="006B1A15"/>
    <w:rsid w:val="006B6991"/>
    <w:rsid w:val="006C2E1C"/>
    <w:rsid w:val="006D079E"/>
    <w:rsid w:val="006D1270"/>
    <w:rsid w:val="006D1A16"/>
    <w:rsid w:val="006D2560"/>
    <w:rsid w:val="006D2BF9"/>
    <w:rsid w:val="006D3752"/>
    <w:rsid w:val="006D483C"/>
    <w:rsid w:val="006D486C"/>
    <w:rsid w:val="006D6253"/>
    <w:rsid w:val="006D6727"/>
    <w:rsid w:val="006D7764"/>
    <w:rsid w:val="006D7CBA"/>
    <w:rsid w:val="006E360E"/>
    <w:rsid w:val="006E4148"/>
    <w:rsid w:val="006E48BE"/>
    <w:rsid w:val="006E4B17"/>
    <w:rsid w:val="006E51BB"/>
    <w:rsid w:val="006E53C6"/>
    <w:rsid w:val="006E6281"/>
    <w:rsid w:val="006E7262"/>
    <w:rsid w:val="006F1F39"/>
    <w:rsid w:val="006F3E30"/>
    <w:rsid w:val="006F4D56"/>
    <w:rsid w:val="00700FDB"/>
    <w:rsid w:val="00702567"/>
    <w:rsid w:val="00703773"/>
    <w:rsid w:val="0070443F"/>
    <w:rsid w:val="007060BB"/>
    <w:rsid w:val="0070671D"/>
    <w:rsid w:val="00706ABB"/>
    <w:rsid w:val="00706D02"/>
    <w:rsid w:val="00710BB5"/>
    <w:rsid w:val="007119BC"/>
    <w:rsid w:val="00712455"/>
    <w:rsid w:val="00712900"/>
    <w:rsid w:val="007130BB"/>
    <w:rsid w:val="00713475"/>
    <w:rsid w:val="007154BF"/>
    <w:rsid w:val="00717C1E"/>
    <w:rsid w:val="00720449"/>
    <w:rsid w:val="0072062C"/>
    <w:rsid w:val="00720B01"/>
    <w:rsid w:val="00722594"/>
    <w:rsid w:val="00723D8B"/>
    <w:rsid w:val="00723E3A"/>
    <w:rsid w:val="007243EB"/>
    <w:rsid w:val="00724552"/>
    <w:rsid w:val="00731616"/>
    <w:rsid w:val="00731E9A"/>
    <w:rsid w:val="0073352F"/>
    <w:rsid w:val="00734D3F"/>
    <w:rsid w:val="00735D4D"/>
    <w:rsid w:val="007363A1"/>
    <w:rsid w:val="007374B7"/>
    <w:rsid w:val="00741725"/>
    <w:rsid w:val="00742AB7"/>
    <w:rsid w:val="00745F81"/>
    <w:rsid w:val="00746234"/>
    <w:rsid w:val="00746387"/>
    <w:rsid w:val="00746BE5"/>
    <w:rsid w:val="0074720C"/>
    <w:rsid w:val="007473C5"/>
    <w:rsid w:val="00750382"/>
    <w:rsid w:val="00750F24"/>
    <w:rsid w:val="00753226"/>
    <w:rsid w:val="00753D0C"/>
    <w:rsid w:val="00754188"/>
    <w:rsid w:val="00754F13"/>
    <w:rsid w:val="00756795"/>
    <w:rsid w:val="00756D17"/>
    <w:rsid w:val="00761E8D"/>
    <w:rsid w:val="00762821"/>
    <w:rsid w:val="00763322"/>
    <w:rsid w:val="0076577D"/>
    <w:rsid w:val="00766475"/>
    <w:rsid w:val="007666CF"/>
    <w:rsid w:val="00767129"/>
    <w:rsid w:val="0076749A"/>
    <w:rsid w:val="00770FB6"/>
    <w:rsid w:val="0077163B"/>
    <w:rsid w:val="0077233D"/>
    <w:rsid w:val="007723E4"/>
    <w:rsid w:val="0077307D"/>
    <w:rsid w:val="007808D3"/>
    <w:rsid w:val="007810F9"/>
    <w:rsid w:val="00781E7B"/>
    <w:rsid w:val="0078378D"/>
    <w:rsid w:val="00784ABC"/>
    <w:rsid w:val="007869B7"/>
    <w:rsid w:val="00787C61"/>
    <w:rsid w:val="0079124B"/>
    <w:rsid w:val="00791B31"/>
    <w:rsid w:val="00792EEB"/>
    <w:rsid w:val="007960C6"/>
    <w:rsid w:val="007966A6"/>
    <w:rsid w:val="00796901"/>
    <w:rsid w:val="007A0330"/>
    <w:rsid w:val="007A06D0"/>
    <w:rsid w:val="007A09F3"/>
    <w:rsid w:val="007A1B8A"/>
    <w:rsid w:val="007A4237"/>
    <w:rsid w:val="007A4BD5"/>
    <w:rsid w:val="007A63A1"/>
    <w:rsid w:val="007B1441"/>
    <w:rsid w:val="007B169E"/>
    <w:rsid w:val="007B190B"/>
    <w:rsid w:val="007B26A0"/>
    <w:rsid w:val="007B2C97"/>
    <w:rsid w:val="007B3040"/>
    <w:rsid w:val="007B50F7"/>
    <w:rsid w:val="007B638A"/>
    <w:rsid w:val="007B6B7A"/>
    <w:rsid w:val="007C23E5"/>
    <w:rsid w:val="007C29BA"/>
    <w:rsid w:val="007C2BB7"/>
    <w:rsid w:val="007C2FB0"/>
    <w:rsid w:val="007C3E60"/>
    <w:rsid w:val="007C49B9"/>
    <w:rsid w:val="007C4A4F"/>
    <w:rsid w:val="007C509A"/>
    <w:rsid w:val="007C5303"/>
    <w:rsid w:val="007C7C34"/>
    <w:rsid w:val="007D1DBB"/>
    <w:rsid w:val="007D34A2"/>
    <w:rsid w:val="007D3FCC"/>
    <w:rsid w:val="007D68A9"/>
    <w:rsid w:val="007D72A2"/>
    <w:rsid w:val="007D7AC9"/>
    <w:rsid w:val="007D7BCE"/>
    <w:rsid w:val="007E3546"/>
    <w:rsid w:val="007E3FA7"/>
    <w:rsid w:val="007E40CB"/>
    <w:rsid w:val="007E5480"/>
    <w:rsid w:val="007E54BB"/>
    <w:rsid w:val="007E5F20"/>
    <w:rsid w:val="007E7FE9"/>
    <w:rsid w:val="007F092B"/>
    <w:rsid w:val="007F398C"/>
    <w:rsid w:val="007F450D"/>
    <w:rsid w:val="007F58B2"/>
    <w:rsid w:val="00801C5E"/>
    <w:rsid w:val="00806634"/>
    <w:rsid w:val="00811ABB"/>
    <w:rsid w:val="00812F51"/>
    <w:rsid w:val="00813EDC"/>
    <w:rsid w:val="00814770"/>
    <w:rsid w:val="00814FC5"/>
    <w:rsid w:val="008162D1"/>
    <w:rsid w:val="0082029D"/>
    <w:rsid w:val="00821644"/>
    <w:rsid w:val="008238C0"/>
    <w:rsid w:val="00824AA2"/>
    <w:rsid w:val="00832DF3"/>
    <w:rsid w:val="00834A89"/>
    <w:rsid w:val="008358C0"/>
    <w:rsid w:val="00836BDF"/>
    <w:rsid w:val="008370FF"/>
    <w:rsid w:val="00837884"/>
    <w:rsid w:val="00837EC8"/>
    <w:rsid w:val="008410AE"/>
    <w:rsid w:val="00842A41"/>
    <w:rsid w:val="00843623"/>
    <w:rsid w:val="0084500E"/>
    <w:rsid w:val="00852692"/>
    <w:rsid w:val="00852CB8"/>
    <w:rsid w:val="008535DF"/>
    <w:rsid w:val="008624AE"/>
    <w:rsid w:val="00862B5B"/>
    <w:rsid w:val="008650AE"/>
    <w:rsid w:val="00866500"/>
    <w:rsid w:val="0086732B"/>
    <w:rsid w:val="00867376"/>
    <w:rsid w:val="008707E3"/>
    <w:rsid w:val="00871C2B"/>
    <w:rsid w:val="00871EFA"/>
    <w:rsid w:val="00872890"/>
    <w:rsid w:val="00874579"/>
    <w:rsid w:val="00877829"/>
    <w:rsid w:val="0088010A"/>
    <w:rsid w:val="00880742"/>
    <w:rsid w:val="00880E6D"/>
    <w:rsid w:val="00881C04"/>
    <w:rsid w:val="00881E3B"/>
    <w:rsid w:val="0088369B"/>
    <w:rsid w:val="0088396B"/>
    <w:rsid w:val="008840FC"/>
    <w:rsid w:val="00886196"/>
    <w:rsid w:val="00886DBF"/>
    <w:rsid w:val="00887371"/>
    <w:rsid w:val="00887F28"/>
    <w:rsid w:val="0089016B"/>
    <w:rsid w:val="008929FC"/>
    <w:rsid w:val="0089374F"/>
    <w:rsid w:val="0089415C"/>
    <w:rsid w:val="008968F4"/>
    <w:rsid w:val="008A0C3C"/>
    <w:rsid w:val="008A3CA5"/>
    <w:rsid w:val="008A3EEB"/>
    <w:rsid w:val="008A4847"/>
    <w:rsid w:val="008A4CAB"/>
    <w:rsid w:val="008A74AA"/>
    <w:rsid w:val="008B099F"/>
    <w:rsid w:val="008B1B6C"/>
    <w:rsid w:val="008B469A"/>
    <w:rsid w:val="008B5253"/>
    <w:rsid w:val="008B64A5"/>
    <w:rsid w:val="008C77A4"/>
    <w:rsid w:val="008C7CC3"/>
    <w:rsid w:val="008D0E9C"/>
    <w:rsid w:val="008D44C4"/>
    <w:rsid w:val="008D519B"/>
    <w:rsid w:val="008D6BCC"/>
    <w:rsid w:val="008D7473"/>
    <w:rsid w:val="008E1A9C"/>
    <w:rsid w:val="008E3810"/>
    <w:rsid w:val="008E6494"/>
    <w:rsid w:val="008E6F2D"/>
    <w:rsid w:val="008E76B3"/>
    <w:rsid w:val="008F0732"/>
    <w:rsid w:val="008F1387"/>
    <w:rsid w:val="008F29B2"/>
    <w:rsid w:val="008F3209"/>
    <w:rsid w:val="008F5D5E"/>
    <w:rsid w:val="0090278B"/>
    <w:rsid w:val="009060A3"/>
    <w:rsid w:val="00906655"/>
    <w:rsid w:val="00907516"/>
    <w:rsid w:val="00913287"/>
    <w:rsid w:val="00914ABE"/>
    <w:rsid w:val="0091588E"/>
    <w:rsid w:val="0091596B"/>
    <w:rsid w:val="00915989"/>
    <w:rsid w:val="00915CEC"/>
    <w:rsid w:val="00916167"/>
    <w:rsid w:val="00917438"/>
    <w:rsid w:val="0092081B"/>
    <w:rsid w:val="00920B1A"/>
    <w:rsid w:val="00922DCB"/>
    <w:rsid w:val="00923E2E"/>
    <w:rsid w:val="009249D8"/>
    <w:rsid w:val="0092543A"/>
    <w:rsid w:val="00927E4B"/>
    <w:rsid w:val="00931B30"/>
    <w:rsid w:val="00932CCB"/>
    <w:rsid w:val="009334AF"/>
    <w:rsid w:val="00934606"/>
    <w:rsid w:val="00935B45"/>
    <w:rsid w:val="009375A1"/>
    <w:rsid w:val="00940610"/>
    <w:rsid w:val="009406E5"/>
    <w:rsid w:val="00940AF4"/>
    <w:rsid w:val="00942F86"/>
    <w:rsid w:val="009433BF"/>
    <w:rsid w:val="00943502"/>
    <w:rsid w:val="00943E00"/>
    <w:rsid w:val="00944738"/>
    <w:rsid w:val="00945216"/>
    <w:rsid w:val="009516D1"/>
    <w:rsid w:val="0095271B"/>
    <w:rsid w:val="00953405"/>
    <w:rsid w:val="0095398B"/>
    <w:rsid w:val="00955553"/>
    <w:rsid w:val="0095557F"/>
    <w:rsid w:val="00960207"/>
    <w:rsid w:val="00960BF2"/>
    <w:rsid w:val="00961E9B"/>
    <w:rsid w:val="0096280D"/>
    <w:rsid w:val="00962E3A"/>
    <w:rsid w:val="00965910"/>
    <w:rsid w:val="00965C62"/>
    <w:rsid w:val="009671E8"/>
    <w:rsid w:val="00967BD4"/>
    <w:rsid w:val="00971F8D"/>
    <w:rsid w:val="00973FB0"/>
    <w:rsid w:val="009741D2"/>
    <w:rsid w:val="00974978"/>
    <w:rsid w:val="00976C03"/>
    <w:rsid w:val="00976E0A"/>
    <w:rsid w:val="0098041C"/>
    <w:rsid w:val="00980A8A"/>
    <w:rsid w:val="00980AAB"/>
    <w:rsid w:val="00981C6E"/>
    <w:rsid w:val="00985533"/>
    <w:rsid w:val="009900E3"/>
    <w:rsid w:val="00990719"/>
    <w:rsid w:val="00991CD3"/>
    <w:rsid w:val="00993EBC"/>
    <w:rsid w:val="00994C59"/>
    <w:rsid w:val="00995555"/>
    <w:rsid w:val="00996C90"/>
    <w:rsid w:val="009970FF"/>
    <w:rsid w:val="009A1399"/>
    <w:rsid w:val="009A1AA6"/>
    <w:rsid w:val="009A2BC1"/>
    <w:rsid w:val="009A51D1"/>
    <w:rsid w:val="009A6CEC"/>
    <w:rsid w:val="009A727F"/>
    <w:rsid w:val="009B00D2"/>
    <w:rsid w:val="009B404B"/>
    <w:rsid w:val="009B79D3"/>
    <w:rsid w:val="009B7DD4"/>
    <w:rsid w:val="009C0257"/>
    <w:rsid w:val="009C10A2"/>
    <w:rsid w:val="009C27D2"/>
    <w:rsid w:val="009C2D89"/>
    <w:rsid w:val="009C34FB"/>
    <w:rsid w:val="009C3F62"/>
    <w:rsid w:val="009C6F6A"/>
    <w:rsid w:val="009C7C62"/>
    <w:rsid w:val="009D0019"/>
    <w:rsid w:val="009D2631"/>
    <w:rsid w:val="009D2CE7"/>
    <w:rsid w:val="009D7C12"/>
    <w:rsid w:val="009E1447"/>
    <w:rsid w:val="009E350D"/>
    <w:rsid w:val="009E3DAE"/>
    <w:rsid w:val="009E56DF"/>
    <w:rsid w:val="009F083F"/>
    <w:rsid w:val="009F0C7D"/>
    <w:rsid w:val="009F136B"/>
    <w:rsid w:val="009F16A9"/>
    <w:rsid w:val="009F1D8E"/>
    <w:rsid w:val="009F32A2"/>
    <w:rsid w:val="009F3FB5"/>
    <w:rsid w:val="009F67E1"/>
    <w:rsid w:val="009F763C"/>
    <w:rsid w:val="00A0200D"/>
    <w:rsid w:val="00A031D9"/>
    <w:rsid w:val="00A032F7"/>
    <w:rsid w:val="00A05713"/>
    <w:rsid w:val="00A1143A"/>
    <w:rsid w:val="00A11F59"/>
    <w:rsid w:val="00A130E8"/>
    <w:rsid w:val="00A166D1"/>
    <w:rsid w:val="00A16B43"/>
    <w:rsid w:val="00A16C31"/>
    <w:rsid w:val="00A17547"/>
    <w:rsid w:val="00A20D3E"/>
    <w:rsid w:val="00A20DBC"/>
    <w:rsid w:val="00A24895"/>
    <w:rsid w:val="00A271EE"/>
    <w:rsid w:val="00A30B24"/>
    <w:rsid w:val="00A3184B"/>
    <w:rsid w:val="00A32894"/>
    <w:rsid w:val="00A329A8"/>
    <w:rsid w:val="00A36E42"/>
    <w:rsid w:val="00A402F3"/>
    <w:rsid w:val="00A44799"/>
    <w:rsid w:val="00A448C4"/>
    <w:rsid w:val="00A448E7"/>
    <w:rsid w:val="00A44D05"/>
    <w:rsid w:val="00A46CE2"/>
    <w:rsid w:val="00A471F4"/>
    <w:rsid w:val="00A553ED"/>
    <w:rsid w:val="00A558BD"/>
    <w:rsid w:val="00A570FF"/>
    <w:rsid w:val="00A60CF6"/>
    <w:rsid w:val="00A60E84"/>
    <w:rsid w:val="00A63C66"/>
    <w:rsid w:val="00A64DDE"/>
    <w:rsid w:val="00A66F71"/>
    <w:rsid w:val="00A67A9A"/>
    <w:rsid w:val="00A67F82"/>
    <w:rsid w:val="00A76A7B"/>
    <w:rsid w:val="00A77B24"/>
    <w:rsid w:val="00A81871"/>
    <w:rsid w:val="00A819F8"/>
    <w:rsid w:val="00A82AD9"/>
    <w:rsid w:val="00A831B2"/>
    <w:rsid w:val="00A842A9"/>
    <w:rsid w:val="00A850B5"/>
    <w:rsid w:val="00A8581D"/>
    <w:rsid w:val="00A85825"/>
    <w:rsid w:val="00A867C2"/>
    <w:rsid w:val="00A8756C"/>
    <w:rsid w:val="00A9039A"/>
    <w:rsid w:val="00A90431"/>
    <w:rsid w:val="00A917A4"/>
    <w:rsid w:val="00A9191D"/>
    <w:rsid w:val="00A92C9D"/>
    <w:rsid w:val="00A92E29"/>
    <w:rsid w:val="00A93EE7"/>
    <w:rsid w:val="00A940C2"/>
    <w:rsid w:val="00A94CC1"/>
    <w:rsid w:val="00A95085"/>
    <w:rsid w:val="00A977AB"/>
    <w:rsid w:val="00AA0447"/>
    <w:rsid w:val="00AA06E1"/>
    <w:rsid w:val="00AA0C54"/>
    <w:rsid w:val="00AA45A0"/>
    <w:rsid w:val="00AA498D"/>
    <w:rsid w:val="00AA4ADD"/>
    <w:rsid w:val="00AA7790"/>
    <w:rsid w:val="00AB11DF"/>
    <w:rsid w:val="00AB2118"/>
    <w:rsid w:val="00AB3064"/>
    <w:rsid w:val="00AB3E91"/>
    <w:rsid w:val="00AB41A8"/>
    <w:rsid w:val="00AB47AF"/>
    <w:rsid w:val="00AB5C9A"/>
    <w:rsid w:val="00AB60CA"/>
    <w:rsid w:val="00AB6DCD"/>
    <w:rsid w:val="00AB7F3A"/>
    <w:rsid w:val="00AC075E"/>
    <w:rsid w:val="00AC0A91"/>
    <w:rsid w:val="00AC10F8"/>
    <w:rsid w:val="00AC1E7B"/>
    <w:rsid w:val="00AC23A8"/>
    <w:rsid w:val="00AC2B93"/>
    <w:rsid w:val="00AC2F9E"/>
    <w:rsid w:val="00AC5C26"/>
    <w:rsid w:val="00AC5D7B"/>
    <w:rsid w:val="00AC7184"/>
    <w:rsid w:val="00AC7241"/>
    <w:rsid w:val="00AD0367"/>
    <w:rsid w:val="00AD043B"/>
    <w:rsid w:val="00AD1137"/>
    <w:rsid w:val="00AD321B"/>
    <w:rsid w:val="00AD5B39"/>
    <w:rsid w:val="00AD60D8"/>
    <w:rsid w:val="00AD6C03"/>
    <w:rsid w:val="00AE09D7"/>
    <w:rsid w:val="00AE3A0C"/>
    <w:rsid w:val="00AE4E48"/>
    <w:rsid w:val="00AE4FAE"/>
    <w:rsid w:val="00AE5B74"/>
    <w:rsid w:val="00AE5E1F"/>
    <w:rsid w:val="00AE7685"/>
    <w:rsid w:val="00AF070E"/>
    <w:rsid w:val="00AF2910"/>
    <w:rsid w:val="00AF2C05"/>
    <w:rsid w:val="00AF3712"/>
    <w:rsid w:val="00AF3E3C"/>
    <w:rsid w:val="00AF74F2"/>
    <w:rsid w:val="00AF7504"/>
    <w:rsid w:val="00AF7DA9"/>
    <w:rsid w:val="00B01820"/>
    <w:rsid w:val="00B021D7"/>
    <w:rsid w:val="00B02AC9"/>
    <w:rsid w:val="00B05367"/>
    <w:rsid w:val="00B06309"/>
    <w:rsid w:val="00B1135A"/>
    <w:rsid w:val="00B11861"/>
    <w:rsid w:val="00B11B18"/>
    <w:rsid w:val="00B12E8C"/>
    <w:rsid w:val="00B1356A"/>
    <w:rsid w:val="00B14682"/>
    <w:rsid w:val="00B14720"/>
    <w:rsid w:val="00B16C33"/>
    <w:rsid w:val="00B22696"/>
    <w:rsid w:val="00B27112"/>
    <w:rsid w:val="00B33DA6"/>
    <w:rsid w:val="00B33E48"/>
    <w:rsid w:val="00B36C6E"/>
    <w:rsid w:val="00B3712C"/>
    <w:rsid w:val="00B41159"/>
    <w:rsid w:val="00B4145F"/>
    <w:rsid w:val="00B435E3"/>
    <w:rsid w:val="00B43944"/>
    <w:rsid w:val="00B45192"/>
    <w:rsid w:val="00B45474"/>
    <w:rsid w:val="00B45B94"/>
    <w:rsid w:val="00B503A4"/>
    <w:rsid w:val="00B51DA8"/>
    <w:rsid w:val="00B524CA"/>
    <w:rsid w:val="00B52AB6"/>
    <w:rsid w:val="00B53D42"/>
    <w:rsid w:val="00B54020"/>
    <w:rsid w:val="00B54880"/>
    <w:rsid w:val="00B572AC"/>
    <w:rsid w:val="00B57F1F"/>
    <w:rsid w:val="00B6212C"/>
    <w:rsid w:val="00B62E69"/>
    <w:rsid w:val="00B668BE"/>
    <w:rsid w:val="00B73B1D"/>
    <w:rsid w:val="00B741F5"/>
    <w:rsid w:val="00B7455D"/>
    <w:rsid w:val="00B75740"/>
    <w:rsid w:val="00B75AC8"/>
    <w:rsid w:val="00B7707A"/>
    <w:rsid w:val="00B80EF5"/>
    <w:rsid w:val="00B80F24"/>
    <w:rsid w:val="00B834EE"/>
    <w:rsid w:val="00B84EF6"/>
    <w:rsid w:val="00B86309"/>
    <w:rsid w:val="00B8758B"/>
    <w:rsid w:val="00B878EA"/>
    <w:rsid w:val="00B87910"/>
    <w:rsid w:val="00B90DD5"/>
    <w:rsid w:val="00B92171"/>
    <w:rsid w:val="00B953CD"/>
    <w:rsid w:val="00BA073A"/>
    <w:rsid w:val="00BA1827"/>
    <w:rsid w:val="00BA2997"/>
    <w:rsid w:val="00BA2D79"/>
    <w:rsid w:val="00BA3B6E"/>
    <w:rsid w:val="00BA4623"/>
    <w:rsid w:val="00BA5116"/>
    <w:rsid w:val="00BA64EE"/>
    <w:rsid w:val="00BA666C"/>
    <w:rsid w:val="00BA6FB5"/>
    <w:rsid w:val="00BB0609"/>
    <w:rsid w:val="00BB1D01"/>
    <w:rsid w:val="00BB2A1F"/>
    <w:rsid w:val="00BB4357"/>
    <w:rsid w:val="00BB4EFF"/>
    <w:rsid w:val="00BB5FA8"/>
    <w:rsid w:val="00BC5A29"/>
    <w:rsid w:val="00BC5ACA"/>
    <w:rsid w:val="00BD4283"/>
    <w:rsid w:val="00BD50D2"/>
    <w:rsid w:val="00BE1AC7"/>
    <w:rsid w:val="00BE1BB6"/>
    <w:rsid w:val="00BE223C"/>
    <w:rsid w:val="00BE229F"/>
    <w:rsid w:val="00BE2826"/>
    <w:rsid w:val="00BE4D33"/>
    <w:rsid w:val="00BE6673"/>
    <w:rsid w:val="00BF04A9"/>
    <w:rsid w:val="00BF0721"/>
    <w:rsid w:val="00BF1E74"/>
    <w:rsid w:val="00BF2809"/>
    <w:rsid w:val="00BF2A1D"/>
    <w:rsid w:val="00BF2EB5"/>
    <w:rsid w:val="00BF3EE8"/>
    <w:rsid w:val="00BF4325"/>
    <w:rsid w:val="00BF514D"/>
    <w:rsid w:val="00BF6FC4"/>
    <w:rsid w:val="00BF7A6D"/>
    <w:rsid w:val="00C00557"/>
    <w:rsid w:val="00C00B19"/>
    <w:rsid w:val="00C0128B"/>
    <w:rsid w:val="00C02328"/>
    <w:rsid w:val="00C0264A"/>
    <w:rsid w:val="00C0346B"/>
    <w:rsid w:val="00C04584"/>
    <w:rsid w:val="00C057AC"/>
    <w:rsid w:val="00C06E51"/>
    <w:rsid w:val="00C07EC1"/>
    <w:rsid w:val="00C1003F"/>
    <w:rsid w:val="00C104A9"/>
    <w:rsid w:val="00C10500"/>
    <w:rsid w:val="00C14D37"/>
    <w:rsid w:val="00C21356"/>
    <w:rsid w:val="00C221E3"/>
    <w:rsid w:val="00C2236B"/>
    <w:rsid w:val="00C22BB1"/>
    <w:rsid w:val="00C26091"/>
    <w:rsid w:val="00C315A6"/>
    <w:rsid w:val="00C33729"/>
    <w:rsid w:val="00C35432"/>
    <w:rsid w:val="00C35B80"/>
    <w:rsid w:val="00C35F99"/>
    <w:rsid w:val="00C46D46"/>
    <w:rsid w:val="00C51CA7"/>
    <w:rsid w:val="00C5279A"/>
    <w:rsid w:val="00C547A1"/>
    <w:rsid w:val="00C54DA0"/>
    <w:rsid w:val="00C55CBA"/>
    <w:rsid w:val="00C56240"/>
    <w:rsid w:val="00C5627F"/>
    <w:rsid w:val="00C57E7F"/>
    <w:rsid w:val="00C60EC4"/>
    <w:rsid w:val="00C63C88"/>
    <w:rsid w:val="00C643CC"/>
    <w:rsid w:val="00C6528E"/>
    <w:rsid w:val="00C6755A"/>
    <w:rsid w:val="00C71CC7"/>
    <w:rsid w:val="00C73E62"/>
    <w:rsid w:val="00C746FC"/>
    <w:rsid w:val="00C75D14"/>
    <w:rsid w:val="00C80617"/>
    <w:rsid w:val="00C81395"/>
    <w:rsid w:val="00C81629"/>
    <w:rsid w:val="00C81AF0"/>
    <w:rsid w:val="00C831EC"/>
    <w:rsid w:val="00C8356E"/>
    <w:rsid w:val="00C8413A"/>
    <w:rsid w:val="00C85DB6"/>
    <w:rsid w:val="00C862D2"/>
    <w:rsid w:val="00C86FE2"/>
    <w:rsid w:val="00C8725C"/>
    <w:rsid w:val="00C90F76"/>
    <w:rsid w:val="00C930DA"/>
    <w:rsid w:val="00C9405E"/>
    <w:rsid w:val="00C952CA"/>
    <w:rsid w:val="00C954A9"/>
    <w:rsid w:val="00C97009"/>
    <w:rsid w:val="00CA231A"/>
    <w:rsid w:val="00CA348E"/>
    <w:rsid w:val="00CA4B36"/>
    <w:rsid w:val="00CA5492"/>
    <w:rsid w:val="00CA5985"/>
    <w:rsid w:val="00CA6DF4"/>
    <w:rsid w:val="00CA6E58"/>
    <w:rsid w:val="00CB000D"/>
    <w:rsid w:val="00CB2EF7"/>
    <w:rsid w:val="00CB321C"/>
    <w:rsid w:val="00CB39F6"/>
    <w:rsid w:val="00CC02E1"/>
    <w:rsid w:val="00CC40F1"/>
    <w:rsid w:val="00CC5752"/>
    <w:rsid w:val="00CC71C7"/>
    <w:rsid w:val="00CD24AF"/>
    <w:rsid w:val="00CD2C7B"/>
    <w:rsid w:val="00CD2CB5"/>
    <w:rsid w:val="00CD4FE7"/>
    <w:rsid w:val="00CD5C6C"/>
    <w:rsid w:val="00CE0737"/>
    <w:rsid w:val="00CE08A3"/>
    <w:rsid w:val="00CE221D"/>
    <w:rsid w:val="00CE2C8F"/>
    <w:rsid w:val="00CE50D1"/>
    <w:rsid w:val="00CE6812"/>
    <w:rsid w:val="00CE68E5"/>
    <w:rsid w:val="00CF0595"/>
    <w:rsid w:val="00CF0E7D"/>
    <w:rsid w:val="00CF133F"/>
    <w:rsid w:val="00CF2B67"/>
    <w:rsid w:val="00CF4D9C"/>
    <w:rsid w:val="00CF619C"/>
    <w:rsid w:val="00CF704A"/>
    <w:rsid w:val="00D00060"/>
    <w:rsid w:val="00D0085D"/>
    <w:rsid w:val="00D0297C"/>
    <w:rsid w:val="00D03114"/>
    <w:rsid w:val="00D03487"/>
    <w:rsid w:val="00D03F43"/>
    <w:rsid w:val="00D06901"/>
    <w:rsid w:val="00D11961"/>
    <w:rsid w:val="00D120CB"/>
    <w:rsid w:val="00D126C7"/>
    <w:rsid w:val="00D13818"/>
    <w:rsid w:val="00D151A3"/>
    <w:rsid w:val="00D201F4"/>
    <w:rsid w:val="00D22402"/>
    <w:rsid w:val="00D236DE"/>
    <w:rsid w:val="00D24F5B"/>
    <w:rsid w:val="00D26BB3"/>
    <w:rsid w:val="00D27754"/>
    <w:rsid w:val="00D27BE7"/>
    <w:rsid w:val="00D3221C"/>
    <w:rsid w:val="00D32B66"/>
    <w:rsid w:val="00D33A10"/>
    <w:rsid w:val="00D36EFA"/>
    <w:rsid w:val="00D3799A"/>
    <w:rsid w:val="00D41AE0"/>
    <w:rsid w:val="00D42B86"/>
    <w:rsid w:val="00D431F2"/>
    <w:rsid w:val="00D44191"/>
    <w:rsid w:val="00D44E42"/>
    <w:rsid w:val="00D5005C"/>
    <w:rsid w:val="00D5143F"/>
    <w:rsid w:val="00D5223F"/>
    <w:rsid w:val="00D635C7"/>
    <w:rsid w:val="00D6429D"/>
    <w:rsid w:val="00D6548E"/>
    <w:rsid w:val="00D67777"/>
    <w:rsid w:val="00D71D5F"/>
    <w:rsid w:val="00D72089"/>
    <w:rsid w:val="00D81205"/>
    <w:rsid w:val="00D82CA9"/>
    <w:rsid w:val="00D83509"/>
    <w:rsid w:val="00D85AEC"/>
    <w:rsid w:val="00D865BD"/>
    <w:rsid w:val="00D909DB"/>
    <w:rsid w:val="00D91131"/>
    <w:rsid w:val="00D925CA"/>
    <w:rsid w:val="00D9278F"/>
    <w:rsid w:val="00D93C8E"/>
    <w:rsid w:val="00D952AB"/>
    <w:rsid w:val="00D95311"/>
    <w:rsid w:val="00D96D1F"/>
    <w:rsid w:val="00D97F31"/>
    <w:rsid w:val="00DA0856"/>
    <w:rsid w:val="00DA1569"/>
    <w:rsid w:val="00DA264B"/>
    <w:rsid w:val="00DA4BC0"/>
    <w:rsid w:val="00DA52BD"/>
    <w:rsid w:val="00DA54F8"/>
    <w:rsid w:val="00DA6CFC"/>
    <w:rsid w:val="00DB05AB"/>
    <w:rsid w:val="00DB0C05"/>
    <w:rsid w:val="00DB3DB8"/>
    <w:rsid w:val="00DB4671"/>
    <w:rsid w:val="00DB5E50"/>
    <w:rsid w:val="00DB634E"/>
    <w:rsid w:val="00DC074C"/>
    <w:rsid w:val="00DC1A2C"/>
    <w:rsid w:val="00DC41B0"/>
    <w:rsid w:val="00DC4B61"/>
    <w:rsid w:val="00DC5323"/>
    <w:rsid w:val="00DC581C"/>
    <w:rsid w:val="00DD285C"/>
    <w:rsid w:val="00DD2F87"/>
    <w:rsid w:val="00DE0889"/>
    <w:rsid w:val="00DE114A"/>
    <w:rsid w:val="00DE1EEA"/>
    <w:rsid w:val="00DE30DC"/>
    <w:rsid w:val="00DE3E0A"/>
    <w:rsid w:val="00DE57C1"/>
    <w:rsid w:val="00DE780A"/>
    <w:rsid w:val="00DE79A0"/>
    <w:rsid w:val="00DF183D"/>
    <w:rsid w:val="00DF2E20"/>
    <w:rsid w:val="00DF6D5C"/>
    <w:rsid w:val="00DF77C9"/>
    <w:rsid w:val="00E00B13"/>
    <w:rsid w:val="00E03B64"/>
    <w:rsid w:val="00E03D81"/>
    <w:rsid w:val="00E05CB2"/>
    <w:rsid w:val="00E112BE"/>
    <w:rsid w:val="00E11C68"/>
    <w:rsid w:val="00E16194"/>
    <w:rsid w:val="00E172FF"/>
    <w:rsid w:val="00E202FA"/>
    <w:rsid w:val="00E205F9"/>
    <w:rsid w:val="00E2157A"/>
    <w:rsid w:val="00E2197D"/>
    <w:rsid w:val="00E221BC"/>
    <w:rsid w:val="00E246C8"/>
    <w:rsid w:val="00E24D6F"/>
    <w:rsid w:val="00E2570B"/>
    <w:rsid w:val="00E25EE6"/>
    <w:rsid w:val="00E266B9"/>
    <w:rsid w:val="00E2790F"/>
    <w:rsid w:val="00E30363"/>
    <w:rsid w:val="00E31F1F"/>
    <w:rsid w:val="00E33754"/>
    <w:rsid w:val="00E33C07"/>
    <w:rsid w:val="00E33F93"/>
    <w:rsid w:val="00E36EB0"/>
    <w:rsid w:val="00E376D9"/>
    <w:rsid w:val="00E416F2"/>
    <w:rsid w:val="00E43475"/>
    <w:rsid w:val="00E43D5C"/>
    <w:rsid w:val="00E455B0"/>
    <w:rsid w:val="00E47C0D"/>
    <w:rsid w:val="00E51C27"/>
    <w:rsid w:val="00E536B0"/>
    <w:rsid w:val="00E53F11"/>
    <w:rsid w:val="00E5455D"/>
    <w:rsid w:val="00E54DDA"/>
    <w:rsid w:val="00E55028"/>
    <w:rsid w:val="00E56988"/>
    <w:rsid w:val="00E615AE"/>
    <w:rsid w:val="00E66B4D"/>
    <w:rsid w:val="00E7205D"/>
    <w:rsid w:val="00E74D36"/>
    <w:rsid w:val="00E814D1"/>
    <w:rsid w:val="00E861B8"/>
    <w:rsid w:val="00E91A4A"/>
    <w:rsid w:val="00E92D5A"/>
    <w:rsid w:val="00E934FF"/>
    <w:rsid w:val="00E93BDE"/>
    <w:rsid w:val="00E93C39"/>
    <w:rsid w:val="00E93E61"/>
    <w:rsid w:val="00E95C4A"/>
    <w:rsid w:val="00E9666F"/>
    <w:rsid w:val="00E96B4C"/>
    <w:rsid w:val="00E970A3"/>
    <w:rsid w:val="00E973EB"/>
    <w:rsid w:val="00EA0705"/>
    <w:rsid w:val="00EA1EC3"/>
    <w:rsid w:val="00EA4D29"/>
    <w:rsid w:val="00EA5B3A"/>
    <w:rsid w:val="00EB39D7"/>
    <w:rsid w:val="00EB4061"/>
    <w:rsid w:val="00EB67EE"/>
    <w:rsid w:val="00EC4636"/>
    <w:rsid w:val="00EC785D"/>
    <w:rsid w:val="00ED1AC6"/>
    <w:rsid w:val="00ED35A4"/>
    <w:rsid w:val="00ED4467"/>
    <w:rsid w:val="00ED5D2A"/>
    <w:rsid w:val="00ED7801"/>
    <w:rsid w:val="00EE1D6E"/>
    <w:rsid w:val="00EE291B"/>
    <w:rsid w:val="00EE3376"/>
    <w:rsid w:val="00EE360B"/>
    <w:rsid w:val="00EE3B93"/>
    <w:rsid w:val="00EE5191"/>
    <w:rsid w:val="00EE602A"/>
    <w:rsid w:val="00EE6868"/>
    <w:rsid w:val="00EE7C7B"/>
    <w:rsid w:val="00EF0A7C"/>
    <w:rsid w:val="00EF2ED2"/>
    <w:rsid w:val="00EF517D"/>
    <w:rsid w:val="00EF6D8D"/>
    <w:rsid w:val="00EF74BD"/>
    <w:rsid w:val="00EF7ACF"/>
    <w:rsid w:val="00F01659"/>
    <w:rsid w:val="00F01AD6"/>
    <w:rsid w:val="00F025CD"/>
    <w:rsid w:val="00F03318"/>
    <w:rsid w:val="00F03B55"/>
    <w:rsid w:val="00F0600D"/>
    <w:rsid w:val="00F06A35"/>
    <w:rsid w:val="00F07D4C"/>
    <w:rsid w:val="00F115DA"/>
    <w:rsid w:val="00F17ECE"/>
    <w:rsid w:val="00F20B3E"/>
    <w:rsid w:val="00F21603"/>
    <w:rsid w:val="00F23A63"/>
    <w:rsid w:val="00F240B2"/>
    <w:rsid w:val="00F265F1"/>
    <w:rsid w:val="00F301E7"/>
    <w:rsid w:val="00F302C5"/>
    <w:rsid w:val="00F31B57"/>
    <w:rsid w:val="00F33AD4"/>
    <w:rsid w:val="00F35169"/>
    <w:rsid w:val="00F4095A"/>
    <w:rsid w:val="00F419D3"/>
    <w:rsid w:val="00F4258D"/>
    <w:rsid w:val="00F426AA"/>
    <w:rsid w:val="00F426AB"/>
    <w:rsid w:val="00F43E6B"/>
    <w:rsid w:val="00F43F56"/>
    <w:rsid w:val="00F44264"/>
    <w:rsid w:val="00F471DB"/>
    <w:rsid w:val="00F503C1"/>
    <w:rsid w:val="00F522A4"/>
    <w:rsid w:val="00F52CB8"/>
    <w:rsid w:val="00F57140"/>
    <w:rsid w:val="00F60370"/>
    <w:rsid w:val="00F610C8"/>
    <w:rsid w:val="00F611FA"/>
    <w:rsid w:val="00F62002"/>
    <w:rsid w:val="00F624DD"/>
    <w:rsid w:val="00F63680"/>
    <w:rsid w:val="00F63F82"/>
    <w:rsid w:val="00F640F6"/>
    <w:rsid w:val="00F66EFC"/>
    <w:rsid w:val="00F70A62"/>
    <w:rsid w:val="00F720C2"/>
    <w:rsid w:val="00F7515E"/>
    <w:rsid w:val="00F81F35"/>
    <w:rsid w:val="00F826BC"/>
    <w:rsid w:val="00F84B0D"/>
    <w:rsid w:val="00F87D40"/>
    <w:rsid w:val="00F9217C"/>
    <w:rsid w:val="00F92368"/>
    <w:rsid w:val="00F92B97"/>
    <w:rsid w:val="00F92D22"/>
    <w:rsid w:val="00F945E0"/>
    <w:rsid w:val="00F95620"/>
    <w:rsid w:val="00F959AA"/>
    <w:rsid w:val="00F963F1"/>
    <w:rsid w:val="00FA086B"/>
    <w:rsid w:val="00FA2F8E"/>
    <w:rsid w:val="00FA378C"/>
    <w:rsid w:val="00FA42ED"/>
    <w:rsid w:val="00FA44B5"/>
    <w:rsid w:val="00FA4E1B"/>
    <w:rsid w:val="00FA5D69"/>
    <w:rsid w:val="00FA6572"/>
    <w:rsid w:val="00FA68C7"/>
    <w:rsid w:val="00FA75D4"/>
    <w:rsid w:val="00FB0096"/>
    <w:rsid w:val="00FB2873"/>
    <w:rsid w:val="00FB2AE9"/>
    <w:rsid w:val="00FB36A8"/>
    <w:rsid w:val="00FB7709"/>
    <w:rsid w:val="00FC294C"/>
    <w:rsid w:val="00FC5064"/>
    <w:rsid w:val="00FC5DF6"/>
    <w:rsid w:val="00FD01DF"/>
    <w:rsid w:val="00FD05DE"/>
    <w:rsid w:val="00FD09EA"/>
    <w:rsid w:val="00FD192A"/>
    <w:rsid w:val="00FD1A24"/>
    <w:rsid w:val="00FD1E36"/>
    <w:rsid w:val="00FD2B87"/>
    <w:rsid w:val="00FD4396"/>
    <w:rsid w:val="00FD5310"/>
    <w:rsid w:val="00FD58AC"/>
    <w:rsid w:val="00FD6BB4"/>
    <w:rsid w:val="00FD79EB"/>
    <w:rsid w:val="00FE025E"/>
    <w:rsid w:val="00FE12F8"/>
    <w:rsid w:val="00FE2B2B"/>
    <w:rsid w:val="00FE3175"/>
    <w:rsid w:val="00FE4F68"/>
    <w:rsid w:val="00FE6042"/>
    <w:rsid w:val="00FE65BD"/>
    <w:rsid w:val="00FF0BD8"/>
    <w:rsid w:val="00FF3D1E"/>
    <w:rsid w:val="00FF5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3BDC"/>
  <w15:docId w15:val="{8F6C411C-F2C2-481A-A5BC-093155DB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935C3"/>
    <w:pPr>
      <w:spacing w:before="60" w:after="60" w:line="240" w:lineRule="auto"/>
      <w:ind w:firstLine="709"/>
      <w:jc w:val="both"/>
    </w:pPr>
    <w:rPr>
      <w:rFonts w:ascii="Times New Roman" w:hAnsi="Times New Roman"/>
      <w:sz w:val="28"/>
    </w:rPr>
  </w:style>
  <w:style w:type="paragraph" w:styleId="1">
    <w:name w:val="heading 1"/>
    <w:basedOn w:val="a"/>
    <w:next w:val="a"/>
    <w:link w:val="10"/>
    <w:uiPriority w:val="9"/>
    <w:qFormat/>
    <w:rsid w:val="004517FE"/>
    <w:pPr>
      <w:keepNext/>
      <w:keepLines/>
      <w:outlineLvl w:val="0"/>
    </w:pPr>
    <w:rPr>
      <w:rFonts w:eastAsiaTheme="majorEastAsia" w:cstheme="majorBidi"/>
      <w:b/>
      <w:color w:val="0070C0"/>
      <w:sz w:val="32"/>
      <w:szCs w:val="32"/>
    </w:rPr>
  </w:style>
  <w:style w:type="paragraph" w:styleId="2">
    <w:name w:val="heading 2"/>
    <w:basedOn w:val="a"/>
    <w:next w:val="a"/>
    <w:link w:val="20"/>
    <w:uiPriority w:val="9"/>
    <w:unhideWhenUsed/>
    <w:qFormat/>
    <w:rsid w:val="0047364C"/>
    <w:pPr>
      <w:keepNext/>
      <w:keepLines/>
      <w:outlineLvl w:val="1"/>
    </w:pPr>
    <w:rPr>
      <w:rFonts w:eastAsiaTheme="majorEastAsia" w:cstheme="majorBidi"/>
      <w:b/>
      <w:szCs w:val="26"/>
    </w:rPr>
  </w:style>
  <w:style w:type="paragraph" w:styleId="3">
    <w:name w:val="heading 3"/>
    <w:basedOn w:val="a"/>
    <w:next w:val="a"/>
    <w:link w:val="30"/>
    <w:uiPriority w:val="9"/>
    <w:unhideWhenUsed/>
    <w:qFormat/>
    <w:rsid w:val="00BF2EB5"/>
    <w:pPr>
      <w:keepNext/>
      <w:keepLines/>
      <w:outlineLvl w:val="2"/>
    </w:pPr>
    <w:rPr>
      <w:rFonts w:eastAsiaTheme="majorEastAsia" w:cstheme="majorBidi"/>
      <w:b/>
      <w:i/>
      <w:color w:val="5B9BD5"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7FE"/>
    <w:rPr>
      <w:rFonts w:ascii="Times New Roman" w:eastAsiaTheme="majorEastAsia" w:hAnsi="Times New Roman" w:cstheme="majorBidi"/>
      <w:b/>
      <w:color w:val="0070C0"/>
      <w:sz w:val="32"/>
      <w:szCs w:val="32"/>
    </w:rPr>
  </w:style>
  <w:style w:type="character" w:customStyle="1" w:styleId="20">
    <w:name w:val="Заголовок 2 Знак"/>
    <w:basedOn w:val="a0"/>
    <w:link w:val="2"/>
    <w:uiPriority w:val="9"/>
    <w:rsid w:val="0047364C"/>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BF2EB5"/>
    <w:rPr>
      <w:rFonts w:ascii="Times New Roman" w:eastAsiaTheme="majorEastAsia" w:hAnsi="Times New Roman" w:cstheme="majorBidi"/>
      <w:b/>
      <w:i/>
      <w:color w:val="5B9BD5" w:themeColor="accent1"/>
      <w:sz w:val="28"/>
      <w:szCs w:val="24"/>
    </w:rPr>
  </w:style>
  <w:style w:type="paragraph" w:styleId="a3">
    <w:name w:val="Body Text"/>
    <w:basedOn w:val="a"/>
    <w:link w:val="a4"/>
    <w:uiPriority w:val="99"/>
    <w:unhideWhenUsed/>
    <w:qFormat/>
    <w:rsid w:val="00AF3E3C"/>
    <w:rPr>
      <w:rFonts w:eastAsia="Times New Roman" w:cs="Times New Roman"/>
      <w:szCs w:val="20"/>
      <w:lang w:eastAsia="ru-RU"/>
    </w:rPr>
  </w:style>
  <w:style w:type="character" w:customStyle="1" w:styleId="a4">
    <w:name w:val="Основной текст Знак"/>
    <w:basedOn w:val="a0"/>
    <w:link w:val="a3"/>
    <w:uiPriority w:val="99"/>
    <w:rsid w:val="00AF3E3C"/>
    <w:rPr>
      <w:rFonts w:ascii="Times New Roman" w:eastAsia="Times New Roman" w:hAnsi="Times New Roman" w:cs="Times New Roman"/>
      <w:sz w:val="28"/>
      <w:szCs w:val="20"/>
      <w:lang w:eastAsia="ru-RU"/>
    </w:rPr>
  </w:style>
  <w:style w:type="paragraph" w:styleId="a5">
    <w:name w:val="footnote text"/>
    <w:aliases w:val="Текст сноски Знак Знак,Текст сноски Знак Знак Знак Знак Знак Знак Знак,Текст сноски2,Текст сноски Знак Знак1,Текст сноски1 Знак1,Текст сноски1 Знак Знак Зн Знак1,Текст сноски Знак Знак Знак Знак Знак,Текст сноски1 Знак"/>
    <w:basedOn w:val="a"/>
    <w:link w:val="a6"/>
    <w:unhideWhenUsed/>
    <w:qFormat/>
    <w:rsid w:val="000E3419"/>
    <w:pPr>
      <w:spacing w:after="0"/>
    </w:pPr>
    <w:rPr>
      <w:sz w:val="24"/>
      <w:szCs w:val="20"/>
    </w:rPr>
  </w:style>
  <w:style w:type="character" w:customStyle="1" w:styleId="a6">
    <w:name w:val="Текст сноски Знак"/>
    <w:aliases w:val="Текст сноски Знак Знак Знак,Текст сноски Знак Знак Знак Знак Знак Знак Знак Знак,Текст сноски2 Знак,Текст сноски Знак Знак1 Знак,Текст сноски1 Знак1 Знак,Текст сноски1 Знак Знак Зн Знак1 Знак,Текст сноски Знак Знак Знак Знак Знак Знак"/>
    <w:basedOn w:val="a0"/>
    <w:link w:val="a5"/>
    <w:rsid w:val="000E3419"/>
    <w:rPr>
      <w:rFonts w:ascii="Times New Roman" w:hAnsi="Times New Roman"/>
      <w:sz w:val="24"/>
      <w:szCs w:val="20"/>
    </w:rPr>
  </w:style>
  <w:style w:type="character" w:styleId="a7">
    <w:name w:val="footnote reference"/>
    <w:basedOn w:val="a0"/>
    <w:unhideWhenUsed/>
    <w:qFormat/>
    <w:rsid w:val="00AF3E3C"/>
    <w:rPr>
      <w:vertAlign w:val="superscript"/>
    </w:rPr>
  </w:style>
  <w:style w:type="paragraph" w:styleId="a8">
    <w:name w:val="List Paragraph"/>
    <w:aliases w:val="Table-Normal,RSHB_Table-Normal"/>
    <w:basedOn w:val="a"/>
    <w:link w:val="a9"/>
    <w:uiPriority w:val="34"/>
    <w:qFormat/>
    <w:rsid w:val="00960BF2"/>
    <w:pPr>
      <w:spacing w:after="200" w:line="276" w:lineRule="auto"/>
      <w:ind w:left="720"/>
      <w:contextualSpacing/>
    </w:pPr>
  </w:style>
  <w:style w:type="paragraph" w:styleId="aa">
    <w:name w:val="Document Map"/>
    <w:basedOn w:val="a"/>
    <w:link w:val="ab"/>
    <w:uiPriority w:val="99"/>
    <w:semiHidden/>
    <w:unhideWhenUsed/>
    <w:rsid w:val="007363A1"/>
    <w:pPr>
      <w:spacing w:after="0"/>
    </w:pPr>
    <w:rPr>
      <w:rFonts w:ascii="Tahoma" w:hAnsi="Tahoma" w:cs="Tahoma"/>
      <w:sz w:val="16"/>
      <w:szCs w:val="16"/>
    </w:rPr>
  </w:style>
  <w:style w:type="character" w:customStyle="1" w:styleId="ab">
    <w:name w:val="Схема документа Знак"/>
    <w:basedOn w:val="a0"/>
    <w:link w:val="aa"/>
    <w:uiPriority w:val="99"/>
    <w:semiHidden/>
    <w:rsid w:val="007363A1"/>
    <w:rPr>
      <w:rFonts w:ascii="Tahoma" w:hAnsi="Tahoma" w:cs="Tahoma"/>
      <w:sz w:val="16"/>
      <w:szCs w:val="16"/>
    </w:rPr>
  </w:style>
  <w:style w:type="paragraph" w:styleId="ac">
    <w:name w:val="Balloon Text"/>
    <w:basedOn w:val="a"/>
    <w:link w:val="ad"/>
    <w:uiPriority w:val="99"/>
    <w:semiHidden/>
    <w:unhideWhenUsed/>
    <w:rsid w:val="007363A1"/>
    <w:pPr>
      <w:spacing w:after="0"/>
    </w:pPr>
    <w:rPr>
      <w:rFonts w:ascii="Tahoma" w:hAnsi="Tahoma" w:cs="Tahoma"/>
      <w:sz w:val="16"/>
      <w:szCs w:val="16"/>
    </w:rPr>
  </w:style>
  <w:style w:type="character" w:customStyle="1" w:styleId="ad">
    <w:name w:val="Текст выноски Знак"/>
    <w:basedOn w:val="a0"/>
    <w:link w:val="ac"/>
    <w:uiPriority w:val="99"/>
    <w:semiHidden/>
    <w:rsid w:val="007363A1"/>
    <w:rPr>
      <w:rFonts w:ascii="Tahoma" w:hAnsi="Tahoma" w:cs="Tahoma"/>
      <w:sz w:val="16"/>
      <w:szCs w:val="16"/>
    </w:rPr>
  </w:style>
  <w:style w:type="character" w:styleId="ae">
    <w:name w:val="Hyperlink"/>
    <w:basedOn w:val="a0"/>
    <w:uiPriority w:val="99"/>
    <w:unhideWhenUsed/>
    <w:rsid w:val="00241A51"/>
    <w:rPr>
      <w:color w:val="0563C1" w:themeColor="hyperlink"/>
      <w:u w:val="single"/>
    </w:rPr>
  </w:style>
  <w:style w:type="table" w:styleId="af">
    <w:name w:val="Table Grid"/>
    <w:basedOn w:val="a1"/>
    <w:uiPriority w:val="39"/>
    <w:rsid w:val="001C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4148"/>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4D1803"/>
    <w:pPr>
      <w:tabs>
        <w:tab w:val="center" w:pos="4677"/>
        <w:tab w:val="right" w:pos="9355"/>
      </w:tabs>
      <w:spacing w:after="0"/>
    </w:pPr>
  </w:style>
  <w:style w:type="character" w:customStyle="1" w:styleId="af1">
    <w:name w:val="Верхний колонтитул Знак"/>
    <w:basedOn w:val="a0"/>
    <w:link w:val="af0"/>
    <w:uiPriority w:val="99"/>
    <w:rsid w:val="004D1803"/>
  </w:style>
  <w:style w:type="paragraph" w:styleId="af2">
    <w:name w:val="footer"/>
    <w:basedOn w:val="a"/>
    <w:link w:val="af3"/>
    <w:uiPriority w:val="99"/>
    <w:unhideWhenUsed/>
    <w:rsid w:val="004D1803"/>
    <w:pPr>
      <w:tabs>
        <w:tab w:val="center" w:pos="4677"/>
        <w:tab w:val="right" w:pos="9355"/>
      </w:tabs>
      <w:spacing w:after="0"/>
    </w:pPr>
  </w:style>
  <w:style w:type="character" w:customStyle="1" w:styleId="af3">
    <w:name w:val="Нижний колонтитул Знак"/>
    <w:basedOn w:val="a0"/>
    <w:link w:val="af2"/>
    <w:uiPriority w:val="99"/>
    <w:rsid w:val="004D1803"/>
  </w:style>
  <w:style w:type="paragraph" w:customStyle="1" w:styleId="docthought">
    <w:name w:val="doc__thought"/>
    <w:basedOn w:val="a"/>
    <w:rsid w:val="004F2F46"/>
    <w:pPr>
      <w:spacing w:before="100" w:beforeAutospacing="1" w:after="100" w:afterAutospacing="1"/>
    </w:pPr>
    <w:rPr>
      <w:rFonts w:eastAsia="Times New Roman" w:cs="Times New Roman"/>
      <w:sz w:val="24"/>
      <w:szCs w:val="24"/>
      <w:lang w:eastAsia="ru-RU"/>
    </w:rPr>
  </w:style>
  <w:style w:type="paragraph" w:customStyle="1" w:styleId="doctext">
    <w:name w:val="doc__text"/>
    <w:basedOn w:val="a"/>
    <w:rsid w:val="004F2F46"/>
    <w:pPr>
      <w:spacing w:before="100" w:beforeAutospacing="1" w:after="100" w:afterAutospacing="1"/>
    </w:pPr>
    <w:rPr>
      <w:rFonts w:eastAsia="Times New Roman" w:cs="Times New Roman"/>
      <w:sz w:val="24"/>
      <w:szCs w:val="24"/>
      <w:lang w:eastAsia="ru-RU"/>
    </w:rPr>
  </w:style>
  <w:style w:type="paragraph" w:customStyle="1" w:styleId="advheader">
    <w:name w:val="adv_header"/>
    <w:basedOn w:val="a"/>
    <w:rsid w:val="004F2F46"/>
    <w:pPr>
      <w:spacing w:before="100" w:beforeAutospacing="1" w:after="100" w:afterAutospacing="1"/>
    </w:pPr>
    <w:rPr>
      <w:rFonts w:eastAsia="Times New Roman" w:cs="Times New Roman"/>
      <w:sz w:val="24"/>
      <w:szCs w:val="24"/>
      <w:lang w:eastAsia="ru-RU"/>
    </w:rPr>
  </w:style>
  <w:style w:type="character" w:styleId="af4">
    <w:name w:val="FollowedHyperlink"/>
    <w:basedOn w:val="a0"/>
    <w:uiPriority w:val="99"/>
    <w:semiHidden/>
    <w:unhideWhenUsed/>
    <w:rsid w:val="00756795"/>
    <w:rPr>
      <w:color w:val="954F72" w:themeColor="followedHyperlink"/>
      <w:u w:val="single"/>
    </w:rPr>
  </w:style>
  <w:style w:type="paragraph" w:styleId="af5">
    <w:name w:val="caption"/>
    <w:basedOn w:val="a"/>
    <w:next w:val="a"/>
    <w:uiPriority w:val="35"/>
    <w:unhideWhenUsed/>
    <w:qFormat/>
    <w:rsid w:val="00BC5ACA"/>
    <w:pPr>
      <w:spacing w:after="0" w:line="276" w:lineRule="auto"/>
    </w:pPr>
    <w:rPr>
      <w:b/>
      <w:bCs/>
      <w:color w:val="5B9BD5" w:themeColor="accent1"/>
      <w:sz w:val="18"/>
      <w:szCs w:val="18"/>
    </w:rPr>
  </w:style>
  <w:style w:type="paragraph" w:styleId="11">
    <w:name w:val="toc 1"/>
    <w:basedOn w:val="a"/>
    <w:next w:val="a"/>
    <w:autoRedefine/>
    <w:uiPriority w:val="39"/>
    <w:unhideWhenUsed/>
    <w:rsid w:val="004517FE"/>
    <w:pPr>
      <w:tabs>
        <w:tab w:val="right" w:leader="dot" w:pos="9627"/>
      </w:tabs>
      <w:spacing w:after="100"/>
    </w:pPr>
    <w:rPr>
      <w:noProof/>
    </w:rPr>
  </w:style>
  <w:style w:type="paragraph" w:styleId="21">
    <w:name w:val="toc 2"/>
    <w:basedOn w:val="a"/>
    <w:next w:val="a"/>
    <w:autoRedefine/>
    <w:uiPriority w:val="39"/>
    <w:unhideWhenUsed/>
    <w:rsid w:val="00E36EB0"/>
    <w:pPr>
      <w:tabs>
        <w:tab w:val="right" w:leader="dot" w:pos="9627"/>
      </w:tabs>
      <w:spacing w:after="100"/>
      <w:ind w:left="220"/>
    </w:pPr>
    <w:rPr>
      <w:noProof/>
      <w:sz w:val="24"/>
    </w:rPr>
  </w:style>
  <w:style w:type="paragraph" w:styleId="31">
    <w:name w:val="toc 3"/>
    <w:basedOn w:val="a"/>
    <w:next w:val="a"/>
    <w:autoRedefine/>
    <w:uiPriority w:val="39"/>
    <w:unhideWhenUsed/>
    <w:rsid w:val="00E36EB0"/>
    <w:pPr>
      <w:tabs>
        <w:tab w:val="right" w:leader="dot" w:pos="9627"/>
      </w:tabs>
      <w:spacing w:after="100"/>
      <w:ind w:left="440"/>
    </w:pPr>
    <w:rPr>
      <w:noProof/>
      <w:sz w:val="24"/>
    </w:rPr>
  </w:style>
  <w:style w:type="character" w:customStyle="1" w:styleId="12">
    <w:name w:val="Неразрешенное упоминание1"/>
    <w:basedOn w:val="a0"/>
    <w:uiPriority w:val="99"/>
    <w:semiHidden/>
    <w:unhideWhenUsed/>
    <w:rsid w:val="00BA3B6E"/>
    <w:rPr>
      <w:color w:val="605E5C"/>
      <w:shd w:val="clear" w:color="auto" w:fill="E1DFDD"/>
    </w:rPr>
  </w:style>
  <w:style w:type="paragraph" w:styleId="af6">
    <w:name w:val="endnote text"/>
    <w:basedOn w:val="a"/>
    <w:link w:val="af7"/>
    <w:uiPriority w:val="99"/>
    <w:semiHidden/>
    <w:unhideWhenUsed/>
    <w:rsid w:val="002210BD"/>
    <w:pPr>
      <w:spacing w:before="0" w:after="0"/>
    </w:pPr>
    <w:rPr>
      <w:sz w:val="20"/>
      <w:szCs w:val="20"/>
    </w:rPr>
  </w:style>
  <w:style w:type="character" w:customStyle="1" w:styleId="af7">
    <w:name w:val="Текст концевой сноски Знак"/>
    <w:basedOn w:val="a0"/>
    <w:link w:val="af6"/>
    <w:uiPriority w:val="99"/>
    <w:semiHidden/>
    <w:rsid w:val="002210BD"/>
    <w:rPr>
      <w:rFonts w:ascii="Times New Roman" w:hAnsi="Times New Roman"/>
      <w:sz w:val="20"/>
      <w:szCs w:val="20"/>
    </w:rPr>
  </w:style>
  <w:style w:type="character" w:styleId="af8">
    <w:name w:val="endnote reference"/>
    <w:basedOn w:val="a0"/>
    <w:uiPriority w:val="99"/>
    <w:semiHidden/>
    <w:unhideWhenUsed/>
    <w:rsid w:val="002210BD"/>
    <w:rPr>
      <w:vertAlign w:val="superscript"/>
    </w:rPr>
  </w:style>
  <w:style w:type="paragraph" w:styleId="af9">
    <w:name w:val="Body Text Indent"/>
    <w:basedOn w:val="a"/>
    <w:link w:val="afa"/>
    <w:uiPriority w:val="99"/>
    <w:unhideWhenUsed/>
    <w:rsid w:val="00C6528E"/>
    <w:pPr>
      <w:spacing w:after="120"/>
      <w:ind w:left="283"/>
    </w:pPr>
  </w:style>
  <w:style w:type="character" w:customStyle="1" w:styleId="afa">
    <w:name w:val="Основной текст с отступом Знак"/>
    <w:basedOn w:val="a0"/>
    <w:link w:val="af9"/>
    <w:uiPriority w:val="99"/>
    <w:rsid w:val="00C6528E"/>
    <w:rPr>
      <w:rFonts w:ascii="Times New Roman" w:hAnsi="Times New Roman"/>
      <w:sz w:val="28"/>
    </w:rPr>
  </w:style>
  <w:style w:type="paragraph" w:customStyle="1" w:styleId="ConsPlusNormal">
    <w:name w:val="ConsPlusNormal"/>
    <w:rsid w:val="00C6528E"/>
    <w:pPr>
      <w:widowControl w:val="0"/>
      <w:autoSpaceDE w:val="0"/>
      <w:autoSpaceDN w:val="0"/>
      <w:spacing w:after="0" w:line="240" w:lineRule="auto"/>
    </w:pPr>
    <w:rPr>
      <w:rFonts w:ascii="Arial" w:eastAsia="Times New Roman" w:hAnsi="Arial" w:cs="Arial"/>
      <w:sz w:val="24"/>
      <w:szCs w:val="20"/>
      <w:lang w:eastAsia="ru-RU"/>
    </w:rPr>
  </w:style>
  <w:style w:type="paragraph" w:customStyle="1" w:styleId="afb">
    <w:name w:val="Рисунок"/>
    <w:basedOn w:val="a"/>
    <w:autoRedefine/>
    <w:qFormat/>
    <w:rsid w:val="00C6528E"/>
    <w:pPr>
      <w:spacing w:before="0" w:after="0"/>
      <w:jc w:val="center"/>
    </w:pPr>
    <w:rPr>
      <w:rFonts w:eastAsia="Times New Roman" w:cs="Times New Roman"/>
      <w:sz w:val="24"/>
      <w:szCs w:val="24"/>
      <w:lang w:eastAsia="ru-RU"/>
    </w:rPr>
  </w:style>
  <w:style w:type="character" w:customStyle="1" w:styleId="a9">
    <w:name w:val="Абзац списка Знак"/>
    <w:aliases w:val="Table-Normal Знак,RSHB_Table-Normal Знак"/>
    <w:link w:val="a8"/>
    <w:uiPriority w:val="34"/>
    <w:rsid w:val="00C6528E"/>
    <w:rPr>
      <w:rFonts w:ascii="Times New Roman" w:hAnsi="Times New Roman"/>
      <w:sz w:val="28"/>
    </w:rPr>
  </w:style>
  <w:style w:type="paragraph" w:styleId="afc">
    <w:name w:val="Normal (Web)"/>
    <w:basedOn w:val="a"/>
    <w:uiPriority w:val="99"/>
    <w:unhideWhenUsed/>
    <w:rsid w:val="00E2157A"/>
    <w:pPr>
      <w:spacing w:before="100" w:beforeAutospacing="1" w:after="100" w:afterAutospacing="1"/>
      <w:ind w:firstLine="0"/>
      <w:jc w:val="left"/>
    </w:pPr>
    <w:rPr>
      <w:rFonts w:eastAsia="Times New Roman" w:cs="Times New Roman"/>
      <w:sz w:val="24"/>
      <w:szCs w:val="24"/>
      <w:lang w:eastAsia="ru-RU"/>
    </w:rPr>
  </w:style>
  <w:style w:type="paragraph" w:styleId="afd">
    <w:name w:val="Revision"/>
    <w:hidden/>
    <w:uiPriority w:val="99"/>
    <w:semiHidden/>
    <w:rsid w:val="00273E2F"/>
    <w:pPr>
      <w:spacing w:after="0" w:line="240" w:lineRule="auto"/>
    </w:pPr>
    <w:rPr>
      <w:rFonts w:ascii="Times New Roman" w:hAnsi="Times New Roman"/>
      <w:sz w:val="28"/>
    </w:rPr>
  </w:style>
  <w:style w:type="character" w:styleId="afe">
    <w:name w:val="Unresolved Mention"/>
    <w:basedOn w:val="a0"/>
    <w:uiPriority w:val="99"/>
    <w:semiHidden/>
    <w:unhideWhenUsed/>
    <w:rsid w:val="00F81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27767">
      <w:bodyDiv w:val="1"/>
      <w:marLeft w:val="0"/>
      <w:marRight w:val="0"/>
      <w:marTop w:val="0"/>
      <w:marBottom w:val="0"/>
      <w:divBdr>
        <w:top w:val="none" w:sz="0" w:space="0" w:color="auto"/>
        <w:left w:val="none" w:sz="0" w:space="0" w:color="auto"/>
        <w:bottom w:val="none" w:sz="0" w:space="0" w:color="auto"/>
        <w:right w:val="none" w:sz="0" w:space="0" w:color="auto"/>
      </w:divBdr>
    </w:div>
    <w:div w:id="1280721719">
      <w:bodyDiv w:val="1"/>
      <w:marLeft w:val="0"/>
      <w:marRight w:val="0"/>
      <w:marTop w:val="0"/>
      <w:marBottom w:val="0"/>
      <w:divBdr>
        <w:top w:val="none" w:sz="0" w:space="0" w:color="auto"/>
        <w:left w:val="none" w:sz="0" w:space="0" w:color="auto"/>
        <w:bottom w:val="none" w:sz="0" w:space="0" w:color="auto"/>
        <w:right w:val="none" w:sz="0" w:space="0" w:color="auto"/>
      </w:divBdr>
      <w:divsChild>
        <w:div w:id="226958510">
          <w:marLeft w:val="0"/>
          <w:marRight w:val="0"/>
          <w:marTop w:val="0"/>
          <w:marBottom w:val="600"/>
          <w:divBdr>
            <w:top w:val="none" w:sz="0" w:space="0" w:color="auto"/>
            <w:left w:val="none" w:sz="0" w:space="0" w:color="auto"/>
            <w:bottom w:val="none" w:sz="0" w:space="0" w:color="auto"/>
            <w:right w:val="none" w:sz="0" w:space="0" w:color="auto"/>
          </w:divBdr>
          <w:divsChild>
            <w:div w:id="2087995821">
              <w:marLeft w:val="0"/>
              <w:marRight w:val="0"/>
              <w:marTop w:val="0"/>
              <w:marBottom w:val="0"/>
              <w:divBdr>
                <w:top w:val="none" w:sz="0" w:space="0" w:color="auto"/>
                <w:left w:val="none" w:sz="0" w:space="0" w:color="auto"/>
                <w:bottom w:val="none" w:sz="0" w:space="0" w:color="auto"/>
                <w:right w:val="none" w:sz="0" w:space="0" w:color="auto"/>
              </w:divBdr>
            </w:div>
          </w:divsChild>
        </w:div>
        <w:div w:id="1589191064">
          <w:marLeft w:val="0"/>
          <w:marRight w:val="0"/>
          <w:marTop w:val="0"/>
          <w:marBottom w:val="0"/>
          <w:divBdr>
            <w:top w:val="none" w:sz="0" w:space="0" w:color="auto"/>
            <w:left w:val="single" w:sz="12" w:space="0" w:color="004465"/>
            <w:bottom w:val="none" w:sz="0" w:space="0" w:color="auto"/>
            <w:right w:val="none" w:sz="0" w:space="0" w:color="auto"/>
          </w:divBdr>
        </w:div>
      </w:divsChild>
    </w:div>
    <w:div w:id="1676569167">
      <w:bodyDiv w:val="1"/>
      <w:marLeft w:val="0"/>
      <w:marRight w:val="0"/>
      <w:marTop w:val="0"/>
      <w:marBottom w:val="0"/>
      <w:divBdr>
        <w:top w:val="none" w:sz="0" w:space="0" w:color="auto"/>
        <w:left w:val="none" w:sz="0" w:space="0" w:color="auto"/>
        <w:bottom w:val="none" w:sz="0" w:space="0" w:color="auto"/>
        <w:right w:val="none" w:sz="0" w:space="0" w:color="auto"/>
      </w:divBdr>
    </w:div>
    <w:div w:id="21276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FEE0-6E2A-4B87-87F2-7F2CF49B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10431</Words>
  <Characters>59462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33</Company>
  <LinksUpToDate>false</LinksUpToDate>
  <CharactersWithSpaces>69754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dc:creator>
  <cp:keywords/>
  <dc:description/>
  <cp:lastModifiedBy>user</cp:lastModifiedBy>
  <cp:revision>6</cp:revision>
  <cp:lastPrinted>2024-10-29T09:01:00Z</cp:lastPrinted>
  <dcterms:created xsi:type="dcterms:W3CDTF">2025-04-19T06:05:00Z</dcterms:created>
  <dcterms:modified xsi:type="dcterms:W3CDTF">2025-04-19T07:04:00Z</dcterms:modified>
</cp:coreProperties>
</file>